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B042B">
        <w:tblPrEx>
          <w:tblCellMar>
            <w:top w:w="0" w:type="dxa"/>
            <w:bottom w:w="0" w:type="dxa"/>
          </w:tblCellMar>
        </w:tblPrEx>
        <w:trPr>
          <w:tblCellSpacing w:w="60" w:type="dxa"/>
        </w:trPr>
        <w:tc>
          <w:tcPr>
            <w:tcW w:w="1200" w:type="pct"/>
            <w:shd w:val="clear" w:color="auto" w:fill="E7F0F9"/>
          </w:tcPr>
          <w:p w:rsidR="007B042B" w:rsidRDefault="00423A89">
            <w:pPr>
              <w:spacing w:after="0" w:line="240" w:lineRule="auto"/>
            </w:pPr>
            <w:bookmarkStart w:id="0" w:name="_GoBack"/>
            <w:bookmarkEnd w:id="0"/>
            <w:r>
              <w:rPr>
                <w:b/>
              </w:rPr>
              <w:t>RKP broj</w:t>
            </w:r>
          </w:p>
        </w:tc>
        <w:tc>
          <w:tcPr>
            <w:tcW w:w="0" w:type="auto"/>
            <w:shd w:val="clear" w:color="auto" w:fill="E7F0F9"/>
          </w:tcPr>
          <w:p w:rsidR="007B042B" w:rsidRDefault="00423A89">
            <w:pPr>
              <w:spacing w:after="0" w:line="240" w:lineRule="auto"/>
            </w:pPr>
            <w:r>
              <w:t>43773</w:t>
            </w:r>
          </w:p>
        </w:tc>
      </w:tr>
      <w:tr w:rsidR="007B042B">
        <w:tblPrEx>
          <w:tblCellMar>
            <w:top w:w="0" w:type="dxa"/>
            <w:bottom w:w="0" w:type="dxa"/>
          </w:tblCellMar>
        </w:tblPrEx>
        <w:trPr>
          <w:tblCellSpacing w:w="60" w:type="dxa"/>
        </w:trPr>
        <w:tc>
          <w:tcPr>
            <w:tcW w:w="1200" w:type="pct"/>
            <w:shd w:val="clear" w:color="auto" w:fill="E7F0F9"/>
          </w:tcPr>
          <w:p w:rsidR="007B042B" w:rsidRDefault="00423A89">
            <w:pPr>
              <w:spacing w:after="0" w:line="240" w:lineRule="auto"/>
            </w:pPr>
            <w:r>
              <w:rPr>
                <w:b/>
              </w:rPr>
              <w:t>Naziv obveznika</w:t>
            </w:r>
          </w:p>
        </w:tc>
        <w:tc>
          <w:tcPr>
            <w:tcW w:w="0" w:type="auto"/>
            <w:shd w:val="clear" w:color="auto" w:fill="E7F0F9"/>
          </w:tcPr>
          <w:p w:rsidR="007B042B" w:rsidRDefault="00423A89">
            <w:pPr>
              <w:spacing w:after="0" w:line="240" w:lineRule="auto"/>
            </w:pPr>
            <w:r>
              <w:t>SVEUČILIŠTE U SPLITU, KINEZIOLOŠKI FAKULTET</w:t>
            </w:r>
          </w:p>
        </w:tc>
      </w:tr>
      <w:tr w:rsidR="007B042B">
        <w:tblPrEx>
          <w:tblCellMar>
            <w:top w:w="0" w:type="dxa"/>
            <w:bottom w:w="0" w:type="dxa"/>
          </w:tblCellMar>
        </w:tblPrEx>
        <w:trPr>
          <w:tblCellSpacing w:w="60" w:type="dxa"/>
        </w:trPr>
        <w:tc>
          <w:tcPr>
            <w:tcW w:w="1200" w:type="pct"/>
            <w:shd w:val="clear" w:color="auto" w:fill="E7F0F9"/>
          </w:tcPr>
          <w:p w:rsidR="007B042B" w:rsidRDefault="00423A89">
            <w:pPr>
              <w:spacing w:after="0" w:line="240" w:lineRule="auto"/>
            </w:pPr>
            <w:r>
              <w:rPr>
                <w:b/>
              </w:rPr>
              <w:t>Razina</w:t>
            </w:r>
          </w:p>
        </w:tc>
        <w:tc>
          <w:tcPr>
            <w:tcW w:w="0" w:type="auto"/>
            <w:shd w:val="clear" w:color="auto" w:fill="E7F0F9"/>
          </w:tcPr>
          <w:p w:rsidR="007B042B" w:rsidRDefault="00423A89">
            <w:pPr>
              <w:spacing w:after="0" w:line="240" w:lineRule="auto"/>
            </w:pPr>
            <w:r>
              <w:t>11</w:t>
            </w:r>
          </w:p>
        </w:tc>
      </w:tr>
    </w:tbl>
    <w:p w:rsidR="007B042B" w:rsidRDefault="00423A89">
      <w:r>
        <w:br/>
      </w:r>
    </w:p>
    <w:p w:rsidR="007B042B" w:rsidRDefault="00423A89">
      <w:pPr>
        <w:spacing w:line="240" w:lineRule="auto"/>
        <w:jc w:val="center"/>
      </w:pPr>
      <w:r>
        <w:rPr>
          <w:b/>
          <w:sz w:val="28"/>
        </w:rPr>
        <w:t>BILJEŠKE UZ FINANCIJSKE IZVJEŠTAJE</w:t>
      </w:r>
    </w:p>
    <w:p w:rsidR="007B042B" w:rsidRDefault="00423A89">
      <w:pPr>
        <w:spacing w:line="240" w:lineRule="auto"/>
        <w:jc w:val="center"/>
      </w:pPr>
      <w:r>
        <w:rPr>
          <w:b/>
          <w:sz w:val="28"/>
        </w:rPr>
        <w:t>ZA RAZDOBLJE</w:t>
      </w:r>
    </w:p>
    <w:p w:rsidR="007B042B" w:rsidRDefault="00423A89">
      <w:pPr>
        <w:spacing w:line="240" w:lineRule="auto"/>
        <w:jc w:val="center"/>
      </w:pPr>
      <w:r>
        <w:rPr>
          <w:b/>
          <w:sz w:val="28"/>
        </w:rPr>
        <w:t>I - XII 2025.</w:t>
      </w:r>
    </w:p>
    <w:p w:rsidR="007B042B" w:rsidRDefault="007B042B"/>
    <w:p w:rsidR="007B042B" w:rsidRDefault="00423A89">
      <w:pPr>
        <w:keepNext/>
        <w:spacing w:line="240" w:lineRule="auto"/>
        <w:jc w:val="center"/>
      </w:pPr>
      <w:r>
        <w:rPr>
          <w:b/>
          <w:sz w:val="28"/>
        </w:rPr>
        <w:t>Izvještaj o prihodima i rashodima, primicima i izdacima</w:t>
      </w:r>
    </w:p>
    <w:p w:rsidR="007B042B" w:rsidRDefault="00423A8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6</w:t>
            </w:r>
          </w:p>
        </w:tc>
        <w:tc>
          <w:tcPr>
            <w:tcW w:w="3180" w:type="dxa"/>
            <w:tcMar>
              <w:top w:w="0" w:type="dxa"/>
              <w:bottom w:w="0" w:type="dxa"/>
            </w:tcMar>
            <w:vAlign w:val="center"/>
          </w:tcPr>
          <w:p w:rsidR="007B042B" w:rsidRDefault="00423A89">
            <w:pPr>
              <w:keepNext/>
              <w:keepLines/>
              <w:spacing w:after="0" w:line="240" w:lineRule="auto"/>
            </w:pPr>
            <w:r>
              <w:rPr>
                <w:sz w:val="18"/>
              </w:rPr>
              <w:t>PRIHODI POSLOVANJA (šifre 61+62+63+64+65+66+67+68)</w:t>
            </w:r>
          </w:p>
        </w:tc>
        <w:tc>
          <w:tcPr>
            <w:tcW w:w="700" w:type="dxa"/>
            <w:tcMar>
              <w:top w:w="0" w:type="dxa"/>
              <w:bottom w:w="0" w:type="dxa"/>
            </w:tcMar>
            <w:vAlign w:val="center"/>
          </w:tcPr>
          <w:p w:rsidR="007B042B" w:rsidRDefault="00423A89">
            <w:pPr>
              <w:keepNext/>
              <w:keepLines/>
              <w:spacing w:after="0" w:line="240" w:lineRule="auto"/>
            </w:pPr>
            <w:r>
              <w:rPr>
                <w:sz w:val="18"/>
              </w:rPr>
              <w:t>6</w:t>
            </w:r>
          </w:p>
        </w:tc>
        <w:tc>
          <w:tcPr>
            <w:tcW w:w="1860" w:type="dxa"/>
            <w:tcMar>
              <w:top w:w="0" w:type="dxa"/>
              <w:bottom w:w="0" w:type="dxa"/>
            </w:tcMar>
            <w:vAlign w:val="center"/>
          </w:tcPr>
          <w:p w:rsidR="007B042B" w:rsidRDefault="00423A89">
            <w:pPr>
              <w:keepNext/>
              <w:keepLines/>
              <w:spacing w:after="0" w:line="240" w:lineRule="auto"/>
              <w:jc w:val="right"/>
            </w:pPr>
            <w:r>
              <w:rPr>
                <w:sz w:val="18"/>
              </w:rPr>
              <w:t>3.304.118,07</w:t>
            </w:r>
          </w:p>
        </w:tc>
        <w:tc>
          <w:tcPr>
            <w:tcW w:w="1860" w:type="dxa"/>
            <w:tcMar>
              <w:top w:w="0" w:type="dxa"/>
              <w:bottom w:w="0" w:type="dxa"/>
            </w:tcMar>
            <w:vAlign w:val="center"/>
          </w:tcPr>
          <w:p w:rsidR="007B042B" w:rsidRDefault="00423A89">
            <w:pPr>
              <w:keepNext/>
              <w:keepLines/>
              <w:spacing w:after="0" w:line="240" w:lineRule="auto"/>
              <w:jc w:val="right"/>
            </w:pPr>
            <w:r>
              <w:rPr>
                <w:sz w:val="18"/>
              </w:rPr>
              <w:t>4.112.149,78</w:t>
            </w:r>
          </w:p>
        </w:tc>
        <w:tc>
          <w:tcPr>
            <w:tcW w:w="700" w:type="dxa"/>
            <w:tcMar>
              <w:top w:w="0" w:type="dxa"/>
              <w:bottom w:w="0" w:type="dxa"/>
            </w:tcMar>
            <w:vAlign w:val="center"/>
          </w:tcPr>
          <w:p w:rsidR="007B042B" w:rsidRDefault="00423A89">
            <w:pPr>
              <w:keepNext/>
              <w:keepLines/>
              <w:spacing w:after="0" w:line="240" w:lineRule="auto"/>
              <w:jc w:val="right"/>
            </w:pPr>
            <w:r>
              <w:rPr>
                <w:sz w:val="18"/>
              </w:rPr>
              <w:t>124,5</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3</w:t>
            </w:r>
          </w:p>
        </w:tc>
        <w:tc>
          <w:tcPr>
            <w:tcW w:w="3180" w:type="dxa"/>
            <w:tcMar>
              <w:top w:w="0" w:type="dxa"/>
              <w:bottom w:w="0" w:type="dxa"/>
            </w:tcMar>
            <w:vAlign w:val="center"/>
          </w:tcPr>
          <w:p w:rsidR="007B042B" w:rsidRDefault="00423A89">
            <w:pPr>
              <w:keepNext/>
              <w:keepLines/>
              <w:spacing w:after="0" w:line="240" w:lineRule="auto"/>
            </w:pPr>
            <w:r>
              <w:rPr>
                <w:sz w:val="18"/>
              </w:rPr>
              <w:t>RASHODI POSLOVANJA (šifre 31+32+34+35+36+37+38)</w:t>
            </w:r>
          </w:p>
        </w:tc>
        <w:tc>
          <w:tcPr>
            <w:tcW w:w="700" w:type="dxa"/>
            <w:tcMar>
              <w:top w:w="0" w:type="dxa"/>
              <w:bottom w:w="0" w:type="dxa"/>
            </w:tcMar>
            <w:vAlign w:val="center"/>
          </w:tcPr>
          <w:p w:rsidR="007B042B" w:rsidRDefault="00423A89">
            <w:pPr>
              <w:keepNext/>
              <w:keepLines/>
              <w:spacing w:after="0" w:line="240" w:lineRule="auto"/>
            </w:pPr>
            <w:r>
              <w:rPr>
                <w:sz w:val="18"/>
              </w:rPr>
              <w:t>3</w:t>
            </w:r>
          </w:p>
        </w:tc>
        <w:tc>
          <w:tcPr>
            <w:tcW w:w="1860" w:type="dxa"/>
            <w:tcMar>
              <w:top w:w="0" w:type="dxa"/>
              <w:bottom w:w="0" w:type="dxa"/>
            </w:tcMar>
            <w:vAlign w:val="center"/>
          </w:tcPr>
          <w:p w:rsidR="007B042B" w:rsidRDefault="00423A89">
            <w:pPr>
              <w:keepNext/>
              <w:keepLines/>
              <w:spacing w:after="0" w:line="240" w:lineRule="auto"/>
              <w:jc w:val="right"/>
            </w:pPr>
            <w:r>
              <w:rPr>
                <w:sz w:val="18"/>
              </w:rPr>
              <w:t>3.336.225,13</w:t>
            </w:r>
          </w:p>
        </w:tc>
        <w:tc>
          <w:tcPr>
            <w:tcW w:w="1860" w:type="dxa"/>
            <w:tcMar>
              <w:top w:w="0" w:type="dxa"/>
              <w:bottom w:w="0" w:type="dxa"/>
            </w:tcMar>
            <w:vAlign w:val="center"/>
          </w:tcPr>
          <w:p w:rsidR="007B042B" w:rsidRDefault="00423A89">
            <w:pPr>
              <w:keepNext/>
              <w:keepLines/>
              <w:spacing w:after="0" w:line="240" w:lineRule="auto"/>
              <w:jc w:val="right"/>
            </w:pPr>
            <w:r>
              <w:rPr>
                <w:sz w:val="18"/>
              </w:rPr>
              <w:t>4.002.184,55</w:t>
            </w:r>
          </w:p>
        </w:tc>
        <w:tc>
          <w:tcPr>
            <w:tcW w:w="700" w:type="dxa"/>
            <w:tcMar>
              <w:top w:w="0" w:type="dxa"/>
              <w:bottom w:w="0" w:type="dxa"/>
            </w:tcMar>
            <w:vAlign w:val="center"/>
          </w:tcPr>
          <w:p w:rsidR="007B042B" w:rsidRDefault="00423A89">
            <w:pPr>
              <w:keepNext/>
              <w:keepLines/>
              <w:spacing w:after="0" w:line="240" w:lineRule="auto"/>
              <w:jc w:val="right"/>
            </w:pPr>
            <w:r>
              <w:rPr>
                <w:sz w:val="18"/>
              </w:rPr>
              <w:t>120,0</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7B042B">
            <w:pPr>
              <w:keepNext/>
              <w:keepLines/>
              <w:spacing w:after="0" w:line="240" w:lineRule="auto"/>
            </w:pPr>
          </w:p>
        </w:tc>
        <w:tc>
          <w:tcPr>
            <w:tcW w:w="3180" w:type="dxa"/>
            <w:tcMar>
              <w:top w:w="0" w:type="dxa"/>
              <w:bottom w:w="0" w:type="dxa"/>
            </w:tcMar>
            <w:vAlign w:val="center"/>
          </w:tcPr>
          <w:p w:rsidR="007B042B" w:rsidRDefault="00423A89">
            <w:pPr>
              <w:keepNext/>
              <w:keepLines/>
              <w:spacing w:after="0" w:line="240" w:lineRule="auto"/>
            </w:pPr>
            <w:r>
              <w:rPr>
                <w:b/>
                <w:sz w:val="18"/>
              </w:rPr>
              <w:t>VIŠAK PRIHODA POSLOVANJA (šifre 6-Z005)</w:t>
            </w:r>
          </w:p>
        </w:tc>
        <w:tc>
          <w:tcPr>
            <w:tcW w:w="700" w:type="dxa"/>
            <w:tcMar>
              <w:top w:w="0" w:type="dxa"/>
              <w:bottom w:w="0" w:type="dxa"/>
            </w:tcMar>
            <w:vAlign w:val="center"/>
          </w:tcPr>
          <w:p w:rsidR="007B042B" w:rsidRDefault="00423A89">
            <w:pPr>
              <w:keepNext/>
              <w:keepLines/>
              <w:spacing w:after="0" w:line="240" w:lineRule="auto"/>
            </w:pPr>
            <w:r>
              <w:rPr>
                <w:b/>
                <w:sz w:val="18"/>
              </w:rPr>
              <w:t>X001</w:t>
            </w:r>
          </w:p>
        </w:tc>
        <w:tc>
          <w:tcPr>
            <w:tcW w:w="1860" w:type="dxa"/>
            <w:tcMar>
              <w:top w:w="0" w:type="dxa"/>
              <w:bottom w:w="0" w:type="dxa"/>
            </w:tcMar>
            <w:vAlign w:val="center"/>
          </w:tcPr>
          <w:p w:rsidR="007B042B" w:rsidRDefault="00423A89">
            <w:pPr>
              <w:keepNext/>
              <w:keepLines/>
              <w:spacing w:after="0" w:line="240" w:lineRule="auto"/>
              <w:jc w:val="right"/>
            </w:pPr>
            <w:r>
              <w:rPr>
                <w:b/>
                <w:sz w:val="18"/>
              </w:rPr>
              <w:t>0,00</w:t>
            </w:r>
          </w:p>
        </w:tc>
        <w:tc>
          <w:tcPr>
            <w:tcW w:w="1860" w:type="dxa"/>
            <w:tcMar>
              <w:top w:w="0" w:type="dxa"/>
              <w:bottom w:w="0" w:type="dxa"/>
            </w:tcMar>
            <w:vAlign w:val="center"/>
          </w:tcPr>
          <w:p w:rsidR="007B042B" w:rsidRDefault="00423A89">
            <w:pPr>
              <w:keepNext/>
              <w:keepLines/>
              <w:spacing w:after="0" w:line="240" w:lineRule="auto"/>
              <w:jc w:val="right"/>
            </w:pPr>
            <w:r>
              <w:rPr>
                <w:b/>
                <w:sz w:val="18"/>
              </w:rPr>
              <w:t>109.965,23</w:t>
            </w:r>
          </w:p>
        </w:tc>
        <w:tc>
          <w:tcPr>
            <w:tcW w:w="700" w:type="dxa"/>
            <w:tcMar>
              <w:top w:w="0" w:type="dxa"/>
              <w:bottom w:w="0" w:type="dxa"/>
            </w:tcMar>
            <w:vAlign w:val="center"/>
          </w:tcPr>
          <w:p w:rsidR="007B042B" w:rsidRDefault="00423A89">
            <w:pPr>
              <w:keepNext/>
              <w:keepLines/>
              <w:spacing w:after="0" w:line="240" w:lineRule="auto"/>
              <w:jc w:val="right"/>
            </w:pPr>
            <w:r>
              <w:rPr>
                <w:b/>
                <w:sz w:val="18"/>
              </w:rPr>
              <w:t>-</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7</w:t>
            </w:r>
          </w:p>
        </w:tc>
        <w:tc>
          <w:tcPr>
            <w:tcW w:w="3180" w:type="dxa"/>
            <w:tcMar>
              <w:top w:w="0" w:type="dxa"/>
              <w:bottom w:w="0" w:type="dxa"/>
            </w:tcMar>
            <w:vAlign w:val="center"/>
          </w:tcPr>
          <w:p w:rsidR="007B042B" w:rsidRDefault="00423A8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7B042B" w:rsidRDefault="00423A89">
            <w:pPr>
              <w:keepNext/>
              <w:keepLines/>
              <w:spacing w:after="0" w:line="240" w:lineRule="auto"/>
            </w:pPr>
            <w:r>
              <w:rPr>
                <w:sz w:val="18"/>
              </w:rPr>
              <w:t>7</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700" w:type="dxa"/>
            <w:tcMar>
              <w:top w:w="0" w:type="dxa"/>
              <w:bottom w:w="0" w:type="dxa"/>
            </w:tcMar>
            <w:vAlign w:val="center"/>
          </w:tcPr>
          <w:p w:rsidR="007B042B" w:rsidRDefault="00423A89">
            <w:pPr>
              <w:keepNext/>
              <w:keepLines/>
              <w:spacing w:after="0" w:line="240" w:lineRule="auto"/>
              <w:jc w:val="right"/>
            </w:pPr>
            <w:r>
              <w:rPr>
                <w:sz w:val="18"/>
              </w:rPr>
              <w:t>-</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4</w:t>
            </w:r>
          </w:p>
        </w:tc>
        <w:tc>
          <w:tcPr>
            <w:tcW w:w="3180" w:type="dxa"/>
            <w:tcMar>
              <w:top w:w="0" w:type="dxa"/>
              <w:bottom w:w="0" w:type="dxa"/>
            </w:tcMar>
            <w:vAlign w:val="center"/>
          </w:tcPr>
          <w:p w:rsidR="007B042B" w:rsidRDefault="00423A8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7B042B" w:rsidRDefault="00423A89">
            <w:pPr>
              <w:keepNext/>
              <w:keepLines/>
              <w:spacing w:after="0" w:line="240" w:lineRule="auto"/>
            </w:pPr>
            <w:r>
              <w:rPr>
                <w:sz w:val="18"/>
              </w:rPr>
              <w:t>4</w:t>
            </w:r>
          </w:p>
        </w:tc>
        <w:tc>
          <w:tcPr>
            <w:tcW w:w="1860" w:type="dxa"/>
            <w:tcMar>
              <w:top w:w="0" w:type="dxa"/>
              <w:bottom w:w="0" w:type="dxa"/>
            </w:tcMar>
            <w:vAlign w:val="center"/>
          </w:tcPr>
          <w:p w:rsidR="007B042B" w:rsidRDefault="00423A89">
            <w:pPr>
              <w:keepNext/>
              <w:keepLines/>
              <w:spacing w:after="0" w:line="240" w:lineRule="auto"/>
              <w:jc w:val="right"/>
            </w:pPr>
            <w:r>
              <w:rPr>
                <w:sz w:val="18"/>
              </w:rPr>
              <w:t>70.230,28</w:t>
            </w:r>
          </w:p>
        </w:tc>
        <w:tc>
          <w:tcPr>
            <w:tcW w:w="1860" w:type="dxa"/>
            <w:tcMar>
              <w:top w:w="0" w:type="dxa"/>
              <w:bottom w:w="0" w:type="dxa"/>
            </w:tcMar>
            <w:vAlign w:val="center"/>
          </w:tcPr>
          <w:p w:rsidR="007B042B" w:rsidRDefault="00423A89">
            <w:pPr>
              <w:keepNext/>
              <w:keepLines/>
              <w:spacing w:after="0" w:line="240" w:lineRule="auto"/>
              <w:jc w:val="right"/>
            </w:pPr>
            <w:r>
              <w:rPr>
                <w:sz w:val="18"/>
              </w:rPr>
              <w:t>61.475,61</w:t>
            </w:r>
          </w:p>
        </w:tc>
        <w:tc>
          <w:tcPr>
            <w:tcW w:w="700" w:type="dxa"/>
            <w:tcMar>
              <w:top w:w="0" w:type="dxa"/>
              <w:bottom w:w="0" w:type="dxa"/>
            </w:tcMar>
            <w:vAlign w:val="center"/>
          </w:tcPr>
          <w:p w:rsidR="007B042B" w:rsidRDefault="00423A89">
            <w:pPr>
              <w:keepNext/>
              <w:keepLines/>
              <w:spacing w:after="0" w:line="240" w:lineRule="auto"/>
              <w:jc w:val="right"/>
            </w:pPr>
            <w:r>
              <w:rPr>
                <w:sz w:val="18"/>
              </w:rPr>
              <w:t>87,5</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7B042B">
            <w:pPr>
              <w:keepNext/>
              <w:keepLines/>
              <w:spacing w:after="0" w:line="240" w:lineRule="auto"/>
            </w:pPr>
          </w:p>
        </w:tc>
        <w:tc>
          <w:tcPr>
            <w:tcW w:w="3180" w:type="dxa"/>
            <w:tcMar>
              <w:top w:w="0" w:type="dxa"/>
              <w:bottom w:w="0" w:type="dxa"/>
            </w:tcMar>
            <w:vAlign w:val="center"/>
          </w:tcPr>
          <w:p w:rsidR="007B042B" w:rsidRDefault="00423A89">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7B042B" w:rsidRDefault="00423A89">
            <w:pPr>
              <w:keepNext/>
              <w:keepLines/>
              <w:spacing w:after="0" w:line="240" w:lineRule="auto"/>
            </w:pPr>
            <w:r>
              <w:rPr>
                <w:b/>
                <w:sz w:val="18"/>
              </w:rPr>
              <w:t>Y002</w:t>
            </w:r>
          </w:p>
        </w:tc>
        <w:tc>
          <w:tcPr>
            <w:tcW w:w="1860" w:type="dxa"/>
            <w:tcMar>
              <w:top w:w="0" w:type="dxa"/>
              <w:bottom w:w="0" w:type="dxa"/>
            </w:tcMar>
            <w:vAlign w:val="center"/>
          </w:tcPr>
          <w:p w:rsidR="007B042B" w:rsidRDefault="00423A89">
            <w:pPr>
              <w:keepNext/>
              <w:keepLines/>
              <w:spacing w:after="0" w:line="240" w:lineRule="auto"/>
              <w:jc w:val="right"/>
            </w:pPr>
            <w:r>
              <w:rPr>
                <w:b/>
                <w:sz w:val="18"/>
              </w:rPr>
              <w:t>70.230,28</w:t>
            </w:r>
          </w:p>
        </w:tc>
        <w:tc>
          <w:tcPr>
            <w:tcW w:w="1860" w:type="dxa"/>
            <w:tcMar>
              <w:top w:w="0" w:type="dxa"/>
              <w:bottom w:w="0" w:type="dxa"/>
            </w:tcMar>
            <w:vAlign w:val="center"/>
          </w:tcPr>
          <w:p w:rsidR="007B042B" w:rsidRDefault="00423A89">
            <w:pPr>
              <w:keepNext/>
              <w:keepLines/>
              <w:spacing w:after="0" w:line="240" w:lineRule="auto"/>
              <w:jc w:val="right"/>
            </w:pPr>
            <w:r>
              <w:rPr>
                <w:b/>
                <w:sz w:val="18"/>
              </w:rPr>
              <w:t>61.475,61</w:t>
            </w:r>
          </w:p>
        </w:tc>
        <w:tc>
          <w:tcPr>
            <w:tcW w:w="700" w:type="dxa"/>
            <w:tcMar>
              <w:top w:w="0" w:type="dxa"/>
              <w:bottom w:w="0" w:type="dxa"/>
            </w:tcMar>
            <w:vAlign w:val="center"/>
          </w:tcPr>
          <w:p w:rsidR="007B042B" w:rsidRDefault="00423A89">
            <w:pPr>
              <w:keepNext/>
              <w:keepLines/>
              <w:spacing w:after="0" w:line="240" w:lineRule="auto"/>
              <w:jc w:val="right"/>
            </w:pPr>
            <w:r>
              <w:rPr>
                <w:b/>
                <w:sz w:val="18"/>
              </w:rPr>
              <w:t>87,5</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8</w:t>
            </w:r>
          </w:p>
        </w:tc>
        <w:tc>
          <w:tcPr>
            <w:tcW w:w="3180" w:type="dxa"/>
            <w:tcMar>
              <w:top w:w="0" w:type="dxa"/>
              <w:bottom w:w="0" w:type="dxa"/>
            </w:tcMar>
            <w:vAlign w:val="center"/>
          </w:tcPr>
          <w:p w:rsidR="007B042B" w:rsidRDefault="00423A8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7B042B" w:rsidRDefault="00423A89">
            <w:pPr>
              <w:keepNext/>
              <w:keepLines/>
              <w:spacing w:after="0" w:line="240" w:lineRule="auto"/>
            </w:pPr>
            <w:r>
              <w:rPr>
                <w:sz w:val="18"/>
              </w:rPr>
              <w:t>8</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700" w:type="dxa"/>
            <w:tcMar>
              <w:top w:w="0" w:type="dxa"/>
              <w:bottom w:w="0" w:type="dxa"/>
            </w:tcMar>
            <w:vAlign w:val="center"/>
          </w:tcPr>
          <w:p w:rsidR="007B042B" w:rsidRDefault="00423A89">
            <w:pPr>
              <w:keepNext/>
              <w:keepLines/>
              <w:spacing w:after="0" w:line="240" w:lineRule="auto"/>
              <w:jc w:val="right"/>
            </w:pPr>
            <w:r>
              <w:rPr>
                <w:sz w:val="18"/>
              </w:rPr>
              <w:t>-</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5</w:t>
            </w:r>
          </w:p>
        </w:tc>
        <w:tc>
          <w:tcPr>
            <w:tcW w:w="3180" w:type="dxa"/>
            <w:tcMar>
              <w:top w:w="0" w:type="dxa"/>
              <w:bottom w:w="0" w:type="dxa"/>
            </w:tcMar>
            <w:vAlign w:val="center"/>
          </w:tcPr>
          <w:p w:rsidR="007B042B" w:rsidRDefault="00423A89">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7B042B" w:rsidRDefault="00423A89">
            <w:pPr>
              <w:keepNext/>
              <w:keepLines/>
              <w:spacing w:after="0" w:line="240" w:lineRule="auto"/>
            </w:pPr>
            <w:r>
              <w:rPr>
                <w:sz w:val="18"/>
              </w:rPr>
              <w:t>5</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700" w:type="dxa"/>
            <w:tcMar>
              <w:top w:w="0" w:type="dxa"/>
              <w:bottom w:w="0" w:type="dxa"/>
            </w:tcMar>
            <w:vAlign w:val="center"/>
          </w:tcPr>
          <w:p w:rsidR="007B042B" w:rsidRDefault="00423A89">
            <w:pPr>
              <w:keepNext/>
              <w:keepLines/>
              <w:spacing w:after="0" w:line="240" w:lineRule="auto"/>
              <w:jc w:val="right"/>
            </w:pPr>
            <w:r>
              <w:rPr>
                <w:sz w:val="18"/>
              </w:rPr>
              <w:t>-</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7B042B">
            <w:pPr>
              <w:keepNext/>
              <w:keepLines/>
              <w:spacing w:after="0" w:line="240" w:lineRule="auto"/>
            </w:pPr>
          </w:p>
        </w:tc>
        <w:tc>
          <w:tcPr>
            <w:tcW w:w="3180" w:type="dxa"/>
            <w:tcMar>
              <w:top w:w="0" w:type="dxa"/>
              <w:bottom w:w="0" w:type="dxa"/>
            </w:tcMar>
            <w:vAlign w:val="center"/>
          </w:tcPr>
          <w:p w:rsidR="007B042B" w:rsidRDefault="00423A8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7B042B" w:rsidRDefault="00423A89">
            <w:pPr>
              <w:keepNext/>
              <w:keepLines/>
              <w:spacing w:after="0" w:line="240" w:lineRule="auto"/>
            </w:pPr>
            <w:r>
              <w:rPr>
                <w:b/>
                <w:sz w:val="18"/>
              </w:rPr>
              <w:t>X003, Y003</w:t>
            </w:r>
          </w:p>
        </w:tc>
        <w:tc>
          <w:tcPr>
            <w:tcW w:w="1860" w:type="dxa"/>
            <w:tcMar>
              <w:top w:w="0" w:type="dxa"/>
              <w:bottom w:w="0" w:type="dxa"/>
            </w:tcMar>
            <w:vAlign w:val="center"/>
          </w:tcPr>
          <w:p w:rsidR="007B042B" w:rsidRDefault="00423A89">
            <w:pPr>
              <w:keepNext/>
              <w:keepLines/>
              <w:spacing w:after="0" w:line="240" w:lineRule="auto"/>
              <w:jc w:val="right"/>
            </w:pPr>
            <w:r>
              <w:rPr>
                <w:b/>
                <w:sz w:val="18"/>
              </w:rPr>
              <w:t>0,00</w:t>
            </w:r>
          </w:p>
        </w:tc>
        <w:tc>
          <w:tcPr>
            <w:tcW w:w="1860" w:type="dxa"/>
            <w:tcMar>
              <w:top w:w="0" w:type="dxa"/>
              <w:bottom w:w="0" w:type="dxa"/>
            </w:tcMar>
            <w:vAlign w:val="center"/>
          </w:tcPr>
          <w:p w:rsidR="007B042B" w:rsidRDefault="00423A89">
            <w:pPr>
              <w:keepNext/>
              <w:keepLines/>
              <w:spacing w:after="0" w:line="240" w:lineRule="auto"/>
              <w:jc w:val="right"/>
            </w:pPr>
            <w:r>
              <w:rPr>
                <w:b/>
                <w:sz w:val="18"/>
              </w:rPr>
              <w:t>0,00</w:t>
            </w:r>
          </w:p>
        </w:tc>
        <w:tc>
          <w:tcPr>
            <w:tcW w:w="700" w:type="dxa"/>
            <w:tcMar>
              <w:top w:w="0" w:type="dxa"/>
              <w:bottom w:w="0" w:type="dxa"/>
            </w:tcMar>
            <w:vAlign w:val="center"/>
          </w:tcPr>
          <w:p w:rsidR="007B042B" w:rsidRDefault="00423A89">
            <w:pPr>
              <w:keepNext/>
              <w:keepLines/>
              <w:spacing w:after="0" w:line="240" w:lineRule="auto"/>
              <w:jc w:val="right"/>
            </w:pPr>
            <w:r>
              <w:rPr>
                <w:b/>
                <w:sz w:val="18"/>
              </w:rPr>
              <w:t>-</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7B042B">
            <w:pPr>
              <w:keepNext/>
              <w:keepLines/>
              <w:spacing w:after="0" w:line="240" w:lineRule="auto"/>
            </w:pPr>
          </w:p>
        </w:tc>
        <w:tc>
          <w:tcPr>
            <w:tcW w:w="3180" w:type="dxa"/>
            <w:tcMar>
              <w:top w:w="0" w:type="dxa"/>
              <w:bottom w:w="0" w:type="dxa"/>
            </w:tcMar>
            <w:vAlign w:val="center"/>
          </w:tcPr>
          <w:p w:rsidR="007B042B" w:rsidRDefault="00423A89">
            <w:pPr>
              <w:keepNext/>
              <w:keepLines/>
              <w:spacing w:after="0" w:line="240" w:lineRule="auto"/>
            </w:pPr>
            <w:r>
              <w:rPr>
                <w:b/>
                <w:sz w:val="18"/>
              </w:rPr>
              <w:t>VIŠAK PRIHODA I PRIMITAKA (šifre X678-Y345)</w:t>
            </w:r>
          </w:p>
        </w:tc>
        <w:tc>
          <w:tcPr>
            <w:tcW w:w="700" w:type="dxa"/>
            <w:tcMar>
              <w:top w:w="0" w:type="dxa"/>
              <w:bottom w:w="0" w:type="dxa"/>
            </w:tcMar>
            <w:vAlign w:val="center"/>
          </w:tcPr>
          <w:p w:rsidR="007B042B" w:rsidRDefault="00423A89">
            <w:pPr>
              <w:keepNext/>
              <w:keepLines/>
              <w:spacing w:after="0" w:line="240" w:lineRule="auto"/>
            </w:pPr>
            <w:r>
              <w:rPr>
                <w:b/>
                <w:sz w:val="18"/>
              </w:rPr>
              <w:t>X005</w:t>
            </w:r>
          </w:p>
        </w:tc>
        <w:tc>
          <w:tcPr>
            <w:tcW w:w="1860" w:type="dxa"/>
            <w:tcMar>
              <w:top w:w="0" w:type="dxa"/>
              <w:bottom w:w="0" w:type="dxa"/>
            </w:tcMar>
            <w:vAlign w:val="center"/>
          </w:tcPr>
          <w:p w:rsidR="007B042B" w:rsidRDefault="00423A89">
            <w:pPr>
              <w:keepNext/>
              <w:keepLines/>
              <w:spacing w:after="0" w:line="240" w:lineRule="auto"/>
              <w:jc w:val="right"/>
            </w:pPr>
            <w:r>
              <w:rPr>
                <w:b/>
                <w:sz w:val="18"/>
              </w:rPr>
              <w:t>0,00</w:t>
            </w:r>
          </w:p>
        </w:tc>
        <w:tc>
          <w:tcPr>
            <w:tcW w:w="1860" w:type="dxa"/>
            <w:tcMar>
              <w:top w:w="0" w:type="dxa"/>
              <w:bottom w:w="0" w:type="dxa"/>
            </w:tcMar>
            <w:vAlign w:val="center"/>
          </w:tcPr>
          <w:p w:rsidR="007B042B" w:rsidRDefault="00423A89">
            <w:pPr>
              <w:keepNext/>
              <w:keepLines/>
              <w:spacing w:after="0" w:line="240" w:lineRule="auto"/>
              <w:jc w:val="right"/>
            </w:pPr>
            <w:r>
              <w:rPr>
                <w:b/>
                <w:sz w:val="18"/>
              </w:rPr>
              <w:t>48.489,62</w:t>
            </w:r>
          </w:p>
        </w:tc>
        <w:tc>
          <w:tcPr>
            <w:tcW w:w="700" w:type="dxa"/>
            <w:tcMar>
              <w:top w:w="0" w:type="dxa"/>
              <w:bottom w:w="0" w:type="dxa"/>
            </w:tcMar>
            <w:vAlign w:val="center"/>
          </w:tcPr>
          <w:p w:rsidR="007B042B" w:rsidRDefault="00423A89">
            <w:pPr>
              <w:keepNext/>
              <w:keepLines/>
              <w:spacing w:after="0" w:line="240" w:lineRule="auto"/>
              <w:jc w:val="right"/>
            </w:pPr>
            <w:r>
              <w:rPr>
                <w:b/>
                <w:sz w:val="18"/>
              </w:rPr>
              <w:t>-</w:t>
            </w:r>
          </w:p>
        </w:tc>
      </w:tr>
    </w:tbl>
    <w:p w:rsidR="007B042B" w:rsidRDefault="007B042B">
      <w:pPr>
        <w:spacing w:after="0"/>
      </w:pPr>
    </w:p>
    <w:p w:rsidR="007B042B" w:rsidRDefault="00423A89">
      <w:r>
        <w:t>Kako bi u obrascu PR-RAS trebao biti prikazati objektivan pregled financijskog rezultata (višak ili manjak) ističemo kako bi iskazani višak poslavanja bio i veći no zbog stupanja na snagu novog Pravilnika o proračunskom računovodstvu i Računskom planu (Nar</w:t>
      </w:r>
      <w:r>
        <w:t xml:space="preserve">. nov., br. 158/23).  Člankom 233. novoga Pravilnika propisano je da se podskupina računa 193 Kontinuirani rashodi budućih </w:t>
      </w:r>
      <w:r>
        <w:lastRenderedPageBreak/>
        <w:t>razdoblja ukida te da se s danom 1. siječnja 2025. kontinuirani rashodi budućih razdoblja prenose na odgovarajuće račune razreda 3 Ra</w:t>
      </w:r>
      <w:r>
        <w:t>shodi poslovanja. Stoga se kod nas koji smo kontinuirane rashode razgraničavali, u ovoj godini događa da u poslovnim knjigama imamo evidentirane, a u financijskim izvještajima iskazane kao  4 rashoda u tromjesečnim, 7 rashoda u polugodišnjim, 10 rashoda  u</w:t>
      </w:r>
      <w:r>
        <w:t xml:space="preserve"> devetomjesečnom te  13 rashoda u godišnjim financijskim izvještajima.  S druge strane, imamo samo uobičajene prihode za financiranje tih rashoda, pa kako sam već navela upravo je iskazani manjak posljedica promjene računovodstvene politike. Kada bi kvanti</w:t>
      </w:r>
      <w:r>
        <w:t>ficirali taj podatak stvarni višak pihoda za izvještajno razdoblje bio bi značajno veći.</w:t>
      </w:r>
    </w:p>
    <w:p w:rsidR="007B042B" w:rsidRDefault="00423A89">
      <w:r>
        <w:t>Što se tiče manjaka prihoda od nefinacijske imovine uobičajeno je da se opći i namjenski prihodi i primici, vlastiti prihodi i primici koriste za financiranje nabave n</w:t>
      </w:r>
      <w:r>
        <w:t xml:space="preserve">efinancijske imovine. To znači da su primjerice u 2025. godini ostvareni prihodi poslovanja (evidentirani u razredu 6), a koji su bili utrošeni tijekom 2025. za nabavu nefinancijske imovine (evidentirani u razredu 4), s 31. prosincem 2025. ostali sadržani </w:t>
      </w:r>
      <w:r>
        <w:t>u rezultatu od poslovanja, a pritom postoji i naizgled nepokriveni manjak od nefinancijske imovine. </w:t>
      </w:r>
    </w:p>
    <w:p w:rsidR="007B042B" w:rsidRDefault="00423A89">
      <w:r>
        <w:t>Kako je Pravilnikom o proračunskom računovodstvu i Računskom planu (Nar. nov., br. 158/23 i 154/24), člankom 215., propisano da se stanja utvrđena na osnov</w:t>
      </w:r>
      <w:r>
        <w:t>nim računima podskupine 922 Rezultat – višak/manjak i iskazana u financijskim izvještajima za proračunsku godinu raspodjeljuju u sljedećoj proračunskoj godini u skladu s odlukom o raspodjeli rezultata tako će i biti provedeno nakon usvajanja Odluke u 2026.</w:t>
      </w:r>
      <w:r>
        <w:t>godini.</w:t>
      </w:r>
    </w:p>
    <w:p w:rsidR="007B042B" w:rsidRDefault="00423A89">
      <w:r>
        <w:br/>
      </w:r>
    </w:p>
    <w:p w:rsidR="007B042B" w:rsidRDefault="00423A8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6391</w:t>
            </w:r>
          </w:p>
        </w:tc>
        <w:tc>
          <w:tcPr>
            <w:tcW w:w="3180" w:type="dxa"/>
            <w:tcMar>
              <w:top w:w="0" w:type="dxa"/>
              <w:bottom w:w="0" w:type="dxa"/>
            </w:tcMar>
            <w:vAlign w:val="center"/>
          </w:tcPr>
          <w:p w:rsidR="007B042B" w:rsidRDefault="00423A89">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rsidR="007B042B" w:rsidRDefault="00423A89">
            <w:pPr>
              <w:keepNext/>
              <w:keepLines/>
              <w:spacing w:after="0" w:line="240" w:lineRule="auto"/>
            </w:pPr>
            <w:r>
              <w:rPr>
                <w:sz w:val="18"/>
              </w:rPr>
              <w:t>6391</w:t>
            </w:r>
          </w:p>
        </w:tc>
        <w:tc>
          <w:tcPr>
            <w:tcW w:w="1860" w:type="dxa"/>
            <w:tcMar>
              <w:top w:w="0" w:type="dxa"/>
              <w:bottom w:w="0" w:type="dxa"/>
            </w:tcMar>
            <w:vAlign w:val="center"/>
          </w:tcPr>
          <w:p w:rsidR="007B042B" w:rsidRDefault="00423A89">
            <w:pPr>
              <w:keepNext/>
              <w:keepLines/>
              <w:spacing w:after="0" w:line="240" w:lineRule="auto"/>
              <w:jc w:val="right"/>
            </w:pPr>
            <w:r>
              <w:rPr>
                <w:sz w:val="18"/>
              </w:rPr>
              <w:t>137.562,02</w:t>
            </w:r>
          </w:p>
        </w:tc>
        <w:tc>
          <w:tcPr>
            <w:tcW w:w="1860" w:type="dxa"/>
            <w:tcMar>
              <w:top w:w="0" w:type="dxa"/>
              <w:bottom w:w="0" w:type="dxa"/>
            </w:tcMar>
            <w:vAlign w:val="center"/>
          </w:tcPr>
          <w:p w:rsidR="007B042B" w:rsidRDefault="00423A89">
            <w:pPr>
              <w:keepNext/>
              <w:keepLines/>
              <w:spacing w:after="0" w:line="240" w:lineRule="auto"/>
              <w:jc w:val="right"/>
            </w:pPr>
            <w:r>
              <w:rPr>
                <w:sz w:val="18"/>
              </w:rPr>
              <w:t>213.280,59</w:t>
            </w:r>
          </w:p>
        </w:tc>
        <w:tc>
          <w:tcPr>
            <w:tcW w:w="700" w:type="dxa"/>
            <w:tcMar>
              <w:top w:w="0" w:type="dxa"/>
              <w:bottom w:w="0" w:type="dxa"/>
            </w:tcMar>
            <w:vAlign w:val="center"/>
          </w:tcPr>
          <w:p w:rsidR="007B042B" w:rsidRDefault="00423A89">
            <w:pPr>
              <w:keepNext/>
              <w:keepLines/>
              <w:spacing w:after="0" w:line="240" w:lineRule="auto"/>
              <w:jc w:val="right"/>
            </w:pPr>
            <w:r>
              <w:rPr>
                <w:sz w:val="18"/>
              </w:rPr>
              <w:t>155,0</w:t>
            </w:r>
          </w:p>
        </w:tc>
      </w:tr>
    </w:tbl>
    <w:p w:rsidR="007B042B" w:rsidRDefault="007B042B">
      <w:pPr>
        <w:spacing w:after="0"/>
      </w:pPr>
    </w:p>
    <w:p w:rsidR="007B042B" w:rsidRDefault="00423A89">
      <w:r>
        <w:t>Najveći dio uplaćenog iznosa odnosi se na projekte HRZZ uplaćeno od strane Zaklade za znanost, a dio za studentske projekte za koje su sredstva uplaćena od strane Sveučilišta u Splitu te za putne troškove koji se odnose na održavanje nastave na Sveučilištu</w:t>
      </w:r>
      <w:r>
        <w:t xml:space="preserve"> u Mostaru.</w:t>
      </w:r>
    </w:p>
    <w:p w:rsidR="007B042B" w:rsidRDefault="00423A89">
      <w:r>
        <w:t>Povećenaje u odnosu na prethodnu godinu je zbog novih HRZZ ugovora te uplata dijela prihoda po novim projektima u prosincu 2025.godine.</w:t>
      </w:r>
    </w:p>
    <w:p w:rsidR="007B042B" w:rsidRDefault="007B042B"/>
    <w:p w:rsidR="007B042B" w:rsidRDefault="00423A89">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w:t>
            </w:r>
            <w:r>
              <w:rPr>
                <w:b/>
                <w:sz w:val="18"/>
              </w:rPr>
              <w:t>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6393</w:t>
            </w:r>
          </w:p>
        </w:tc>
        <w:tc>
          <w:tcPr>
            <w:tcW w:w="3180" w:type="dxa"/>
            <w:tcMar>
              <w:top w:w="0" w:type="dxa"/>
              <w:bottom w:w="0" w:type="dxa"/>
            </w:tcMar>
            <w:vAlign w:val="center"/>
          </w:tcPr>
          <w:p w:rsidR="007B042B" w:rsidRDefault="00423A89">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rsidR="007B042B" w:rsidRDefault="00423A89">
            <w:pPr>
              <w:keepNext/>
              <w:keepLines/>
              <w:spacing w:after="0" w:line="240" w:lineRule="auto"/>
            </w:pPr>
            <w:r>
              <w:rPr>
                <w:sz w:val="18"/>
              </w:rPr>
              <w:t>6393</w:t>
            </w:r>
          </w:p>
        </w:tc>
        <w:tc>
          <w:tcPr>
            <w:tcW w:w="1860" w:type="dxa"/>
            <w:tcMar>
              <w:top w:w="0" w:type="dxa"/>
              <w:bottom w:w="0" w:type="dxa"/>
            </w:tcMar>
            <w:vAlign w:val="center"/>
          </w:tcPr>
          <w:p w:rsidR="007B042B" w:rsidRDefault="00423A89">
            <w:pPr>
              <w:keepNext/>
              <w:keepLines/>
              <w:spacing w:after="0" w:line="240" w:lineRule="auto"/>
              <w:jc w:val="right"/>
            </w:pPr>
            <w:r>
              <w:rPr>
                <w:sz w:val="18"/>
              </w:rPr>
              <w:t>42.198,85</w:t>
            </w:r>
          </w:p>
        </w:tc>
        <w:tc>
          <w:tcPr>
            <w:tcW w:w="1860" w:type="dxa"/>
            <w:tcMar>
              <w:top w:w="0" w:type="dxa"/>
              <w:bottom w:w="0" w:type="dxa"/>
            </w:tcMar>
            <w:vAlign w:val="center"/>
          </w:tcPr>
          <w:p w:rsidR="007B042B" w:rsidRDefault="00423A89">
            <w:pPr>
              <w:keepNext/>
              <w:keepLines/>
              <w:spacing w:after="0" w:line="240" w:lineRule="auto"/>
              <w:jc w:val="right"/>
            </w:pPr>
            <w:r>
              <w:rPr>
                <w:sz w:val="18"/>
              </w:rPr>
              <w:t>91.875,77</w:t>
            </w:r>
          </w:p>
        </w:tc>
        <w:tc>
          <w:tcPr>
            <w:tcW w:w="700" w:type="dxa"/>
            <w:tcMar>
              <w:top w:w="0" w:type="dxa"/>
              <w:bottom w:w="0" w:type="dxa"/>
            </w:tcMar>
            <w:vAlign w:val="center"/>
          </w:tcPr>
          <w:p w:rsidR="007B042B" w:rsidRDefault="00423A89">
            <w:pPr>
              <w:keepNext/>
              <w:keepLines/>
              <w:spacing w:after="0" w:line="240" w:lineRule="auto"/>
              <w:jc w:val="right"/>
            </w:pPr>
            <w:r>
              <w:rPr>
                <w:sz w:val="18"/>
              </w:rPr>
              <w:t>217,7</w:t>
            </w:r>
          </w:p>
        </w:tc>
      </w:tr>
    </w:tbl>
    <w:p w:rsidR="007B042B" w:rsidRDefault="007B042B">
      <w:pPr>
        <w:spacing w:after="0"/>
      </w:pPr>
    </w:p>
    <w:p w:rsidR="007B042B" w:rsidRDefault="00423A89">
      <w:r>
        <w:t>Sredstva doznačena od Sveučilišta u Splitu za Erasmus+ program osposobljavanja nastavnog i nenastavnog osoblja. Iznosi ovise o broju prijavljenih mobilnost.</w:t>
      </w:r>
    </w:p>
    <w:p w:rsidR="007B042B" w:rsidRDefault="00423A89">
      <w:r>
        <w:t>Povećanje u odnosu na prethodnu godinu je zbog prijenosa sredstava ERASMUS-GamesPlus projekta.</w:t>
      </w:r>
    </w:p>
    <w:p w:rsidR="007B042B" w:rsidRDefault="007B042B"/>
    <w:p w:rsidR="007B042B" w:rsidRDefault="00423A89">
      <w:pPr>
        <w:keepNext/>
        <w:spacing w:line="240" w:lineRule="auto"/>
        <w:jc w:val="center"/>
      </w:pPr>
      <w:r>
        <w:rPr>
          <w:sz w:val="28"/>
        </w:rPr>
        <w:t>Bil</w:t>
      </w:r>
      <w:r>
        <w:rPr>
          <w:sz w:val="28"/>
        </w:rPr>
        <w:t>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652</w:t>
            </w:r>
          </w:p>
        </w:tc>
        <w:tc>
          <w:tcPr>
            <w:tcW w:w="3180" w:type="dxa"/>
            <w:tcMar>
              <w:top w:w="0" w:type="dxa"/>
              <w:bottom w:w="0" w:type="dxa"/>
            </w:tcMar>
            <w:vAlign w:val="center"/>
          </w:tcPr>
          <w:p w:rsidR="007B042B" w:rsidRDefault="00423A89">
            <w:pPr>
              <w:keepNext/>
              <w:keepLines/>
              <w:spacing w:after="0" w:line="240" w:lineRule="auto"/>
            </w:pPr>
            <w:r>
              <w:rPr>
                <w:sz w:val="18"/>
              </w:rPr>
              <w:t>Prihodi po posebnim propisima (šifre 6521 do 6528)</w:t>
            </w:r>
          </w:p>
        </w:tc>
        <w:tc>
          <w:tcPr>
            <w:tcW w:w="700" w:type="dxa"/>
            <w:tcMar>
              <w:top w:w="0" w:type="dxa"/>
              <w:bottom w:w="0" w:type="dxa"/>
            </w:tcMar>
            <w:vAlign w:val="center"/>
          </w:tcPr>
          <w:p w:rsidR="007B042B" w:rsidRDefault="00423A89">
            <w:pPr>
              <w:keepNext/>
              <w:keepLines/>
              <w:spacing w:after="0" w:line="240" w:lineRule="auto"/>
            </w:pPr>
            <w:r>
              <w:rPr>
                <w:sz w:val="18"/>
              </w:rPr>
              <w:t>652</w:t>
            </w:r>
          </w:p>
        </w:tc>
        <w:tc>
          <w:tcPr>
            <w:tcW w:w="1860" w:type="dxa"/>
            <w:tcMar>
              <w:top w:w="0" w:type="dxa"/>
              <w:bottom w:w="0" w:type="dxa"/>
            </w:tcMar>
            <w:vAlign w:val="center"/>
          </w:tcPr>
          <w:p w:rsidR="007B042B" w:rsidRDefault="00423A89">
            <w:pPr>
              <w:keepNext/>
              <w:keepLines/>
              <w:spacing w:after="0" w:line="240" w:lineRule="auto"/>
              <w:jc w:val="right"/>
            </w:pPr>
            <w:r>
              <w:rPr>
                <w:sz w:val="18"/>
              </w:rPr>
              <w:t>440.418,77</w:t>
            </w:r>
          </w:p>
        </w:tc>
        <w:tc>
          <w:tcPr>
            <w:tcW w:w="1860" w:type="dxa"/>
            <w:tcMar>
              <w:top w:w="0" w:type="dxa"/>
              <w:bottom w:w="0" w:type="dxa"/>
            </w:tcMar>
            <w:vAlign w:val="center"/>
          </w:tcPr>
          <w:p w:rsidR="007B042B" w:rsidRDefault="00423A89">
            <w:pPr>
              <w:keepNext/>
              <w:keepLines/>
              <w:spacing w:after="0" w:line="240" w:lineRule="auto"/>
              <w:jc w:val="right"/>
            </w:pPr>
            <w:r>
              <w:rPr>
                <w:sz w:val="18"/>
              </w:rPr>
              <w:t>601.244,42</w:t>
            </w:r>
          </w:p>
        </w:tc>
        <w:tc>
          <w:tcPr>
            <w:tcW w:w="700" w:type="dxa"/>
            <w:tcMar>
              <w:top w:w="0" w:type="dxa"/>
              <w:bottom w:w="0" w:type="dxa"/>
            </w:tcMar>
            <w:vAlign w:val="center"/>
          </w:tcPr>
          <w:p w:rsidR="007B042B" w:rsidRDefault="00423A89">
            <w:pPr>
              <w:keepNext/>
              <w:keepLines/>
              <w:spacing w:after="0" w:line="240" w:lineRule="auto"/>
              <w:jc w:val="right"/>
            </w:pPr>
            <w:r>
              <w:rPr>
                <w:sz w:val="18"/>
              </w:rPr>
              <w:t>136,5</w:t>
            </w:r>
          </w:p>
        </w:tc>
      </w:tr>
    </w:tbl>
    <w:p w:rsidR="007B042B" w:rsidRDefault="007B042B">
      <w:pPr>
        <w:spacing w:after="0"/>
      </w:pPr>
    </w:p>
    <w:p w:rsidR="007B042B" w:rsidRDefault="00423A89">
      <w:r>
        <w:t>Prihodi ostvareni od sufinanciranja cijene školarine, upisnine i sl. , iznos je usporedno s istim razdobljem prošle godine veći zbog većeg broja upisanih studenata na program stručnog studija.</w:t>
      </w:r>
    </w:p>
    <w:p w:rsidR="007B042B" w:rsidRDefault="007B042B"/>
    <w:p w:rsidR="007B042B" w:rsidRDefault="00423A8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6615</w:t>
            </w:r>
          </w:p>
        </w:tc>
        <w:tc>
          <w:tcPr>
            <w:tcW w:w="3180" w:type="dxa"/>
            <w:tcMar>
              <w:top w:w="0" w:type="dxa"/>
              <w:bottom w:w="0" w:type="dxa"/>
            </w:tcMar>
            <w:vAlign w:val="center"/>
          </w:tcPr>
          <w:p w:rsidR="007B042B" w:rsidRDefault="00423A89">
            <w:pPr>
              <w:keepNext/>
              <w:keepLines/>
              <w:spacing w:after="0" w:line="240" w:lineRule="auto"/>
            </w:pPr>
            <w:r>
              <w:rPr>
                <w:sz w:val="18"/>
              </w:rPr>
              <w:t>Prihodi od pruženih usluga</w:t>
            </w:r>
          </w:p>
        </w:tc>
        <w:tc>
          <w:tcPr>
            <w:tcW w:w="700" w:type="dxa"/>
            <w:tcMar>
              <w:top w:w="0" w:type="dxa"/>
              <w:bottom w:w="0" w:type="dxa"/>
            </w:tcMar>
            <w:vAlign w:val="center"/>
          </w:tcPr>
          <w:p w:rsidR="007B042B" w:rsidRDefault="00423A89">
            <w:pPr>
              <w:keepNext/>
              <w:keepLines/>
              <w:spacing w:after="0" w:line="240" w:lineRule="auto"/>
            </w:pPr>
            <w:r>
              <w:rPr>
                <w:sz w:val="18"/>
              </w:rPr>
              <w:t>6615</w:t>
            </w:r>
          </w:p>
        </w:tc>
        <w:tc>
          <w:tcPr>
            <w:tcW w:w="1860" w:type="dxa"/>
            <w:tcMar>
              <w:top w:w="0" w:type="dxa"/>
              <w:bottom w:w="0" w:type="dxa"/>
            </w:tcMar>
            <w:vAlign w:val="center"/>
          </w:tcPr>
          <w:p w:rsidR="007B042B" w:rsidRDefault="00423A89">
            <w:pPr>
              <w:keepNext/>
              <w:keepLines/>
              <w:spacing w:after="0" w:line="240" w:lineRule="auto"/>
              <w:jc w:val="right"/>
            </w:pPr>
            <w:r>
              <w:rPr>
                <w:sz w:val="18"/>
              </w:rPr>
              <w:t>11.500,10</w:t>
            </w:r>
          </w:p>
        </w:tc>
        <w:tc>
          <w:tcPr>
            <w:tcW w:w="1860" w:type="dxa"/>
            <w:tcMar>
              <w:top w:w="0" w:type="dxa"/>
              <w:bottom w:w="0" w:type="dxa"/>
            </w:tcMar>
            <w:vAlign w:val="center"/>
          </w:tcPr>
          <w:p w:rsidR="007B042B" w:rsidRDefault="00423A89">
            <w:pPr>
              <w:keepNext/>
              <w:keepLines/>
              <w:spacing w:after="0" w:line="240" w:lineRule="auto"/>
              <w:jc w:val="right"/>
            </w:pPr>
            <w:r>
              <w:rPr>
                <w:sz w:val="18"/>
              </w:rPr>
              <w:t>56.409,24</w:t>
            </w:r>
          </w:p>
        </w:tc>
        <w:tc>
          <w:tcPr>
            <w:tcW w:w="700" w:type="dxa"/>
            <w:tcMar>
              <w:top w:w="0" w:type="dxa"/>
              <w:bottom w:w="0" w:type="dxa"/>
            </w:tcMar>
            <w:vAlign w:val="center"/>
          </w:tcPr>
          <w:p w:rsidR="007B042B" w:rsidRDefault="00423A89">
            <w:pPr>
              <w:keepNext/>
              <w:keepLines/>
              <w:spacing w:after="0" w:line="240" w:lineRule="auto"/>
              <w:jc w:val="right"/>
            </w:pPr>
            <w:r>
              <w:rPr>
                <w:sz w:val="18"/>
              </w:rPr>
              <w:t>490,5</w:t>
            </w:r>
          </w:p>
        </w:tc>
      </w:tr>
    </w:tbl>
    <w:p w:rsidR="007B042B" w:rsidRDefault="007B042B">
      <w:pPr>
        <w:spacing w:after="0"/>
      </w:pPr>
    </w:p>
    <w:p w:rsidR="007B042B" w:rsidRDefault="00423A89">
      <w:r>
        <w:t>Prihodi od cjeloživotnog obrazovanja i razlikovnih programa, kotizacija sponzorstava i izdavačke djelatnosti- kako su za  navedeno razdoblje raspisani novi natječaji za programe cjeloživotnog obrazovanja pa je broj upisanih polaznika na programe cjeloživot</w:t>
      </w:r>
      <w:r>
        <w:t>nog obrazovanja utjecao na znatno povećanje prihoda  u odnosu na isto razdoblje prethodne godine</w:t>
      </w:r>
    </w:p>
    <w:p w:rsidR="007B042B" w:rsidRDefault="00423A89">
      <w:r>
        <w:t> </w:t>
      </w:r>
    </w:p>
    <w:p w:rsidR="007B042B" w:rsidRDefault="007B042B"/>
    <w:p w:rsidR="007B042B" w:rsidRDefault="00423A89">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w:t>
            </w:r>
            <w:r>
              <w:rPr>
                <w:b/>
                <w:sz w:val="18"/>
              </w:rPr>
              <w:t>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6631</w:t>
            </w:r>
          </w:p>
        </w:tc>
        <w:tc>
          <w:tcPr>
            <w:tcW w:w="3180" w:type="dxa"/>
            <w:tcMar>
              <w:top w:w="0" w:type="dxa"/>
              <w:bottom w:w="0" w:type="dxa"/>
            </w:tcMar>
            <w:vAlign w:val="center"/>
          </w:tcPr>
          <w:p w:rsidR="007B042B" w:rsidRDefault="00423A89">
            <w:pPr>
              <w:keepNext/>
              <w:keepLines/>
              <w:spacing w:after="0" w:line="240" w:lineRule="auto"/>
            </w:pPr>
            <w:r>
              <w:rPr>
                <w:sz w:val="18"/>
              </w:rPr>
              <w:t>Tekuće donacije</w:t>
            </w:r>
          </w:p>
        </w:tc>
        <w:tc>
          <w:tcPr>
            <w:tcW w:w="700" w:type="dxa"/>
            <w:tcMar>
              <w:top w:w="0" w:type="dxa"/>
              <w:bottom w:w="0" w:type="dxa"/>
            </w:tcMar>
            <w:vAlign w:val="center"/>
          </w:tcPr>
          <w:p w:rsidR="007B042B" w:rsidRDefault="00423A89">
            <w:pPr>
              <w:keepNext/>
              <w:keepLines/>
              <w:spacing w:after="0" w:line="240" w:lineRule="auto"/>
            </w:pPr>
            <w:r>
              <w:rPr>
                <w:sz w:val="18"/>
              </w:rPr>
              <w:t>6631</w:t>
            </w:r>
          </w:p>
        </w:tc>
        <w:tc>
          <w:tcPr>
            <w:tcW w:w="1860" w:type="dxa"/>
            <w:tcMar>
              <w:top w:w="0" w:type="dxa"/>
              <w:bottom w:w="0" w:type="dxa"/>
            </w:tcMar>
            <w:vAlign w:val="center"/>
          </w:tcPr>
          <w:p w:rsidR="007B042B" w:rsidRDefault="00423A89">
            <w:pPr>
              <w:keepNext/>
              <w:keepLines/>
              <w:spacing w:after="0" w:line="240" w:lineRule="auto"/>
              <w:jc w:val="right"/>
            </w:pPr>
            <w:r>
              <w:rPr>
                <w:sz w:val="18"/>
              </w:rPr>
              <w:t>1.500,00</w:t>
            </w:r>
          </w:p>
        </w:tc>
        <w:tc>
          <w:tcPr>
            <w:tcW w:w="1860" w:type="dxa"/>
            <w:tcMar>
              <w:top w:w="0" w:type="dxa"/>
              <w:bottom w:w="0" w:type="dxa"/>
            </w:tcMar>
            <w:vAlign w:val="center"/>
          </w:tcPr>
          <w:p w:rsidR="007B042B" w:rsidRDefault="00423A89">
            <w:pPr>
              <w:keepNext/>
              <w:keepLines/>
              <w:spacing w:after="0" w:line="240" w:lineRule="auto"/>
              <w:jc w:val="right"/>
            </w:pPr>
            <w:r>
              <w:rPr>
                <w:sz w:val="18"/>
              </w:rPr>
              <w:t>5.600,00</w:t>
            </w:r>
          </w:p>
        </w:tc>
        <w:tc>
          <w:tcPr>
            <w:tcW w:w="700" w:type="dxa"/>
            <w:tcMar>
              <w:top w:w="0" w:type="dxa"/>
              <w:bottom w:w="0" w:type="dxa"/>
            </w:tcMar>
            <w:vAlign w:val="center"/>
          </w:tcPr>
          <w:p w:rsidR="007B042B" w:rsidRDefault="00423A89">
            <w:pPr>
              <w:keepNext/>
              <w:keepLines/>
              <w:spacing w:after="0" w:line="240" w:lineRule="auto"/>
              <w:jc w:val="right"/>
            </w:pPr>
            <w:r>
              <w:rPr>
                <w:sz w:val="18"/>
              </w:rPr>
              <w:t>373,3</w:t>
            </w:r>
          </w:p>
        </w:tc>
      </w:tr>
    </w:tbl>
    <w:p w:rsidR="007B042B" w:rsidRDefault="007B042B">
      <w:pPr>
        <w:spacing w:after="0"/>
      </w:pPr>
    </w:p>
    <w:p w:rsidR="007B042B" w:rsidRDefault="00423A89">
      <w:r>
        <w:t>Donacije su dobivene na temleju izrade projekta Sportska baština KIFST-a – Hodnici koji pričaju priču.</w:t>
      </w:r>
    </w:p>
    <w:p w:rsidR="007B042B" w:rsidRDefault="00423A89">
      <w:r>
        <w:t>Višak prihoda prenosi se u sljedeću godinu kako bi se moga iskoristiti za navedenu aktivnost.</w:t>
      </w:r>
    </w:p>
    <w:p w:rsidR="007B042B" w:rsidRDefault="007B042B"/>
    <w:p w:rsidR="007B042B" w:rsidRDefault="00423A89">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68</w:t>
            </w:r>
          </w:p>
        </w:tc>
        <w:tc>
          <w:tcPr>
            <w:tcW w:w="3180" w:type="dxa"/>
            <w:tcMar>
              <w:top w:w="0" w:type="dxa"/>
              <w:bottom w:w="0" w:type="dxa"/>
            </w:tcMar>
            <w:vAlign w:val="center"/>
          </w:tcPr>
          <w:p w:rsidR="007B042B" w:rsidRDefault="00423A89">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7B042B" w:rsidRDefault="00423A89">
            <w:pPr>
              <w:keepNext/>
              <w:keepLines/>
              <w:spacing w:after="0" w:line="240" w:lineRule="auto"/>
            </w:pPr>
            <w:r>
              <w:rPr>
                <w:sz w:val="18"/>
              </w:rPr>
              <w:t>68</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1860" w:type="dxa"/>
            <w:tcMar>
              <w:top w:w="0" w:type="dxa"/>
              <w:bottom w:w="0" w:type="dxa"/>
            </w:tcMar>
            <w:vAlign w:val="center"/>
          </w:tcPr>
          <w:p w:rsidR="007B042B" w:rsidRDefault="00423A89">
            <w:pPr>
              <w:keepNext/>
              <w:keepLines/>
              <w:spacing w:after="0" w:line="240" w:lineRule="auto"/>
              <w:jc w:val="right"/>
            </w:pPr>
            <w:r>
              <w:rPr>
                <w:sz w:val="18"/>
              </w:rPr>
              <w:t>10.421,73</w:t>
            </w:r>
          </w:p>
        </w:tc>
        <w:tc>
          <w:tcPr>
            <w:tcW w:w="700" w:type="dxa"/>
            <w:tcMar>
              <w:top w:w="0" w:type="dxa"/>
              <w:bottom w:w="0" w:type="dxa"/>
            </w:tcMar>
            <w:vAlign w:val="center"/>
          </w:tcPr>
          <w:p w:rsidR="007B042B" w:rsidRDefault="00423A89">
            <w:pPr>
              <w:keepNext/>
              <w:keepLines/>
              <w:spacing w:after="0" w:line="240" w:lineRule="auto"/>
              <w:jc w:val="right"/>
            </w:pPr>
            <w:r>
              <w:rPr>
                <w:sz w:val="18"/>
              </w:rPr>
              <w:t>-</w:t>
            </w:r>
          </w:p>
        </w:tc>
      </w:tr>
    </w:tbl>
    <w:p w:rsidR="007B042B" w:rsidRDefault="007B042B">
      <w:pPr>
        <w:spacing w:after="0"/>
      </w:pPr>
    </w:p>
    <w:p w:rsidR="007B042B" w:rsidRDefault="00423A89">
      <w:r>
        <w:t>Prihod ostvaren na osnou provedenog postupka likvidacije  uastanove Hrvatski institut za kineziologiju i sport.</w:t>
      </w:r>
    </w:p>
    <w:p w:rsidR="007B042B" w:rsidRDefault="00423A89">
      <w:r>
        <w:t>KIFST kao osnivač preuzeo je po lividaciji preostali iznos s računa navedene ustanove.</w:t>
      </w:r>
    </w:p>
    <w:p w:rsidR="007B042B" w:rsidRDefault="007B042B"/>
    <w:p w:rsidR="007B042B" w:rsidRDefault="00423A89">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w:t>
            </w:r>
            <w:r>
              <w:rPr>
                <w:b/>
                <w:sz w:val="18"/>
              </w:rPr>
              <w:t>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3</w:t>
            </w:r>
          </w:p>
        </w:tc>
        <w:tc>
          <w:tcPr>
            <w:tcW w:w="3180" w:type="dxa"/>
            <w:tcMar>
              <w:top w:w="0" w:type="dxa"/>
              <w:bottom w:w="0" w:type="dxa"/>
            </w:tcMar>
            <w:vAlign w:val="center"/>
          </w:tcPr>
          <w:p w:rsidR="007B042B" w:rsidRDefault="00423A89">
            <w:pPr>
              <w:keepNext/>
              <w:keepLines/>
              <w:spacing w:after="0" w:line="240" w:lineRule="auto"/>
            </w:pPr>
            <w:r>
              <w:rPr>
                <w:sz w:val="18"/>
              </w:rPr>
              <w:t>RASHODI POSLOVANJA (šifre 31+32+34+35+36+37+38)</w:t>
            </w:r>
          </w:p>
        </w:tc>
        <w:tc>
          <w:tcPr>
            <w:tcW w:w="700" w:type="dxa"/>
            <w:tcMar>
              <w:top w:w="0" w:type="dxa"/>
              <w:bottom w:w="0" w:type="dxa"/>
            </w:tcMar>
            <w:vAlign w:val="center"/>
          </w:tcPr>
          <w:p w:rsidR="007B042B" w:rsidRDefault="00423A89">
            <w:pPr>
              <w:keepNext/>
              <w:keepLines/>
              <w:spacing w:after="0" w:line="240" w:lineRule="auto"/>
            </w:pPr>
            <w:r>
              <w:rPr>
                <w:sz w:val="18"/>
              </w:rPr>
              <w:t>3</w:t>
            </w:r>
          </w:p>
        </w:tc>
        <w:tc>
          <w:tcPr>
            <w:tcW w:w="1860" w:type="dxa"/>
            <w:tcMar>
              <w:top w:w="0" w:type="dxa"/>
              <w:bottom w:w="0" w:type="dxa"/>
            </w:tcMar>
            <w:vAlign w:val="center"/>
          </w:tcPr>
          <w:p w:rsidR="007B042B" w:rsidRDefault="00423A89">
            <w:pPr>
              <w:keepNext/>
              <w:keepLines/>
              <w:spacing w:after="0" w:line="240" w:lineRule="auto"/>
              <w:jc w:val="right"/>
            </w:pPr>
            <w:r>
              <w:rPr>
                <w:sz w:val="18"/>
              </w:rPr>
              <w:t>3.336.225,13</w:t>
            </w:r>
          </w:p>
        </w:tc>
        <w:tc>
          <w:tcPr>
            <w:tcW w:w="1860" w:type="dxa"/>
            <w:tcMar>
              <w:top w:w="0" w:type="dxa"/>
              <w:bottom w:w="0" w:type="dxa"/>
            </w:tcMar>
            <w:vAlign w:val="center"/>
          </w:tcPr>
          <w:p w:rsidR="007B042B" w:rsidRDefault="00423A89">
            <w:pPr>
              <w:keepNext/>
              <w:keepLines/>
              <w:spacing w:after="0" w:line="240" w:lineRule="auto"/>
              <w:jc w:val="right"/>
            </w:pPr>
            <w:r>
              <w:rPr>
                <w:sz w:val="18"/>
              </w:rPr>
              <w:t>4.002.184,55</w:t>
            </w:r>
          </w:p>
        </w:tc>
        <w:tc>
          <w:tcPr>
            <w:tcW w:w="700" w:type="dxa"/>
            <w:tcMar>
              <w:top w:w="0" w:type="dxa"/>
              <w:bottom w:w="0" w:type="dxa"/>
            </w:tcMar>
            <w:vAlign w:val="center"/>
          </w:tcPr>
          <w:p w:rsidR="007B042B" w:rsidRDefault="00423A89">
            <w:pPr>
              <w:keepNext/>
              <w:keepLines/>
              <w:spacing w:after="0" w:line="240" w:lineRule="auto"/>
              <w:jc w:val="right"/>
            </w:pPr>
            <w:r>
              <w:rPr>
                <w:sz w:val="18"/>
              </w:rPr>
              <w:t>120,0</w:t>
            </w:r>
          </w:p>
        </w:tc>
      </w:tr>
    </w:tbl>
    <w:p w:rsidR="007B042B" w:rsidRDefault="007B042B">
      <w:pPr>
        <w:spacing w:after="0"/>
      </w:pPr>
    </w:p>
    <w:p w:rsidR="007B042B" w:rsidRDefault="00423A89">
      <w:r>
        <w:t>Najznačajnije povećanje prihoda u odnosu na prethodu godinu je povećanje prihoda za plaće zaposlenih.</w:t>
      </w:r>
    </w:p>
    <w:p w:rsidR="007B042B" w:rsidRDefault="007B042B"/>
    <w:p w:rsidR="007B042B" w:rsidRDefault="00423A8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w:t>
            </w:r>
            <w:r>
              <w:rPr>
                <w:b/>
                <w:sz w:val="18"/>
              </w:rPr>
              <w:t>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3225</w:t>
            </w:r>
          </w:p>
        </w:tc>
        <w:tc>
          <w:tcPr>
            <w:tcW w:w="3180" w:type="dxa"/>
            <w:tcMar>
              <w:top w:w="0" w:type="dxa"/>
              <w:bottom w:w="0" w:type="dxa"/>
            </w:tcMar>
            <w:vAlign w:val="center"/>
          </w:tcPr>
          <w:p w:rsidR="007B042B" w:rsidRDefault="00423A89">
            <w:pPr>
              <w:keepNext/>
              <w:keepLines/>
              <w:spacing w:after="0" w:line="240" w:lineRule="auto"/>
            </w:pPr>
            <w:r>
              <w:rPr>
                <w:sz w:val="18"/>
              </w:rPr>
              <w:t>Sitni inventar i autogume</w:t>
            </w:r>
          </w:p>
        </w:tc>
        <w:tc>
          <w:tcPr>
            <w:tcW w:w="700" w:type="dxa"/>
            <w:tcMar>
              <w:top w:w="0" w:type="dxa"/>
              <w:bottom w:w="0" w:type="dxa"/>
            </w:tcMar>
            <w:vAlign w:val="center"/>
          </w:tcPr>
          <w:p w:rsidR="007B042B" w:rsidRDefault="00423A89">
            <w:pPr>
              <w:keepNext/>
              <w:keepLines/>
              <w:spacing w:after="0" w:line="240" w:lineRule="auto"/>
            </w:pPr>
            <w:r>
              <w:rPr>
                <w:sz w:val="18"/>
              </w:rPr>
              <w:t>3225</w:t>
            </w:r>
          </w:p>
        </w:tc>
        <w:tc>
          <w:tcPr>
            <w:tcW w:w="1860" w:type="dxa"/>
            <w:tcMar>
              <w:top w:w="0" w:type="dxa"/>
              <w:bottom w:w="0" w:type="dxa"/>
            </w:tcMar>
            <w:vAlign w:val="center"/>
          </w:tcPr>
          <w:p w:rsidR="007B042B" w:rsidRDefault="00423A89">
            <w:pPr>
              <w:keepNext/>
              <w:keepLines/>
              <w:spacing w:after="0" w:line="240" w:lineRule="auto"/>
              <w:jc w:val="right"/>
            </w:pPr>
            <w:r>
              <w:rPr>
                <w:sz w:val="18"/>
              </w:rPr>
              <w:t>21.734,06</w:t>
            </w:r>
          </w:p>
        </w:tc>
        <w:tc>
          <w:tcPr>
            <w:tcW w:w="1860" w:type="dxa"/>
            <w:tcMar>
              <w:top w:w="0" w:type="dxa"/>
              <w:bottom w:w="0" w:type="dxa"/>
            </w:tcMar>
            <w:vAlign w:val="center"/>
          </w:tcPr>
          <w:p w:rsidR="007B042B" w:rsidRDefault="00423A89">
            <w:pPr>
              <w:keepNext/>
              <w:keepLines/>
              <w:spacing w:after="0" w:line="240" w:lineRule="auto"/>
              <w:jc w:val="right"/>
            </w:pPr>
            <w:r>
              <w:rPr>
                <w:sz w:val="18"/>
              </w:rPr>
              <w:t>7.276,26</w:t>
            </w:r>
          </w:p>
        </w:tc>
        <w:tc>
          <w:tcPr>
            <w:tcW w:w="700" w:type="dxa"/>
            <w:tcMar>
              <w:top w:w="0" w:type="dxa"/>
              <w:bottom w:w="0" w:type="dxa"/>
            </w:tcMar>
            <w:vAlign w:val="center"/>
          </w:tcPr>
          <w:p w:rsidR="007B042B" w:rsidRDefault="00423A89">
            <w:pPr>
              <w:keepNext/>
              <w:keepLines/>
              <w:spacing w:after="0" w:line="240" w:lineRule="auto"/>
              <w:jc w:val="right"/>
            </w:pPr>
            <w:r>
              <w:rPr>
                <w:sz w:val="18"/>
              </w:rPr>
              <w:t>33,5</w:t>
            </w:r>
          </w:p>
        </w:tc>
      </w:tr>
    </w:tbl>
    <w:p w:rsidR="007B042B" w:rsidRDefault="007B042B">
      <w:pPr>
        <w:spacing w:after="0"/>
      </w:pPr>
    </w:p>
    <w:p w:rsidR="007B042B" w:rsidRDefault="00423A89">
      <w:r>
        <w:lastRenderedPageBreak/>
        <w:t>U odnosu na prethodnu godinu, a sukladno potrebama poslovanja nabavljeno je manje sitnog inventara.</w:t>
      </w:r>
    </w:p>
    <w:p w:rsidR="007B042B" w:rsidRDefault="007B042B"/>
    <w:p w:rsidR="007B042B" w:rsidRDefault="00423A8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3232</w:t>
            </w:r>
          </w:p>
        </w:tc>
        <w:tc>
          <w:tcPr>
            <w:tcW w:w="3180" w:type="dxa"/>
            <w:tcMar>
              <w:top w:w="0" w:type="dxa"/>
              <w:bottom w:w="0" w:type="dxa"/>
            </w:tcMar>
            <w:vAlign w:val="center"/>
          </w:tcPr>
          <w:p w:rsidR="007B042B" w:rsidRDefault="00423A89">
            <w:pPr>
              <w:keepNext/>
              <w:keepLines/>
              <w:spacing w:after="0" w:line="240" w:lineRule="auto"/>
            </w:pPr>
            <w:r>
              <w:rPr>
                <w:sz w:val="18"/>
              </w:rPr>
              <w:t>Usluge tekućeg i investicijskog održavanja</w:t>
            </w:r>
          </w:p>
        </w:tc>
        <w:tc>
          <w:tcPr>
            <w:tcW w:w="700" w:type="dxa"/>
            <w:tcMar>
              <w:top w:w="0" w:type="dxa"/>
              <w:bottom w:w="0" w:type="dxa"/>
            </w:tcMar>
            <w:vAlign w:val="center"/>
          </w:tcPr>
          <w:p w:rsidR="007B042B" w:rsidRDefault="00423A89">
            <w:pPr>
              <w:keepNext/>
              <w:keepLines/>
              <w:spacing w:after="0" w:line="240" w:lineRule="auto"/>
            </w:pPr>
            <w:r>
              <w:rPr>
                <w:sz w:val="18"/>
              </w:rPr>
              <w:t>3232</w:t>
            </w:r>
          </w:p>
        </w:tc>
        <w:tc>
          <w:tcPr>
            <w:tcW w:w="1860" w:type="dxa"/>
            <w:tcMar>
              <w:top w:w="0" w:type="dxa"/>
              <w:bottom w:w="0" w:type="dxa"/>
            </w:tcMar>
            <w:vAlign w:val="center"/>
          </w:tcPr>
          <w:p w:rsidR="007B042B" w:rsidRDefault="00423A89">
            <w:pPr>
              <w:keepNext/>
              <w:keepLines/>
              <w:spacing w:after="0" w:line="240" w:lineRule="auto"/>
              <w:jc w:val="right"/>
            </w:pPr>
            <w:r>
              <w:rPr>
                <w:sz w:val="18"/>
              </w:rPr>
              <w:t>8.109,83</w:t>
            </w:r>
          </w:p>
        </w:tc>
        <w:tc>
          <w:tcPr>
            <w:tcW w:w="1860" w:type="dxa"/>
            <w:tcMar>
              <w:top w:w="0" w:type="dxa"/>
              <w:bottom w:w="0" w:type="dxa"/>
            </w:tcMar>
            <w:vAlign w:val="center"/>
          </w:tcPr>
          <w:p w:rsidR="007B042B" w:rsidRDefault="00423A89">
            <w:pPr>
              <w:keepNext/>
              <w:keepLines/>
              <w:spacing w:after="0" w:line="240" w:lineRule="auto"/>
              <w:jc w:val="right"/>
            </w:pPr>
            <w:r>
              <w:rPr>
                <w:sz w:val="18"/>
              </w:rPr>
              <w:t>13.771,32</w:t>
            </w:r>
          </w:p>
        </w:tc>
        <w:tc>
          <w:tcPr>
            <w:tcW w:w="700" w:type="dxa"/>
            <w:tcMar>
              <w:top w:w="0" w:type="dxa"/>
              <w:bottom w:w="0" w:type="dxa"/>
            </w:tcMar>
            <w:vAlign w:val="center"/>
          </w:tcPr>
          <w:p w:rsidR="007B042B" w:rsidRDefault="00423A89">
            <w:pPr>
              <w:keepNext/>
              <w:keepLines/>
              <w:spacing w:after="0" w:line="240" w:lineRule="auto"/>
              <w:jc w:val="right"/>
            </w:pPr>
            <w:r>
              <w:rPr>
                <w:sz w:val="18"/>
              </w:rPr>
              <w:t>169,8</w:t>
            </w:r>
          </w:p>
        </w:tc>
      </w:tr>
    </w:tbl>
    <w:p w:rsidR="007B042B" w:rsidRDefault="007B042B">
      <w:pPr>
        <w:spacing w:after="0"/>
      </w:pPr>
    </w:p>
    <w:p w:rsidR="007B042B" w:rsidRDefault="00423A89">
      <w:r>
        <w:t>Povećanje se odnosi na redovno održavanje postrojenja i opreme.</w:t>
      </w:r>
    </w:p>
    <w:p w:rsidR="007B042B" w:rsidRDefault="007B042B"/>
    <w:p w:rsidR="007B042B" w:rsidRDefault="00423A8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3237</w:t>
            </w:r>
          </w:p>
        </w:tc>
        <w:tc>
          <w:tcPr>
            <w:tcW w:w="3180" w:type="dxa"/>
            <w:tcMar>
              <w:top w:w="0" w:type="dxa"/>
              <w:bottom w:w="0" w:type="dxa"/>
            </w:tcMar>
            <w:vAlign w:val="center"/>
          </w:tcPr>
          <w:p w:rsidR="007B042B" w:rsidRDefault="00423A89">
            <w:pPr>
              <w:keepNext/>
              <w:keepLines/>
              <w:spacing w:after="0" w:line="240" w:lineRule="auto"/>
            </w:pPr>
            <w:r>
              <w:rPr>
                <w:sz w:val="18"/>
              </w:rPr>
              <w:t>Intelektualne i osobne usluge</w:t>
            </w:r>
          </w:p>
        </w:tc>
        <w:tc>
          <w:tcPr>
            <w:tcW w:w="700" w:type="dxa"/>
            <w:tcMar>
              <w:top w:w="0" w:type="dxa"/>
              <w:bottom w:w="0" w:type="dxa"/>
            </w:tcMar>
            <w:vAlign w:val="center"/>
          </w:tcPr>
          <w:p w:rsidR="007B042B" w:rsidRDefault="00423A89">
            <w:pPr>
              <w:keepNext/>
              <w:keepLines/>
              <w:spacing w:after="0" w:line="240" w:lineRule="auto"/>
            </w:pPr>
            <w:r>
              <w:rPr>
                <w:sz w:val="18"/>
              </w:rPr>
              <w:t>3237</w:t>
            </w:r>
          </w:p>
        </w:tc>
        <w:tc>
          <w:tcPr>
            <w:tcW w:w="1860" w:type="dxa"/>
            <w:tcMar>
              <w:top w:w="0" w:type="dxa"/>
              <w:bottom w:w="0" w:type="dxa"/>
            </w:tcMar>
            <w:vAlign w:val="center"/>
          </w:tcPr>
          <w:p w:rsidR="007B042B" w:rsidRDefault="00423A89">
            <w:pPr>
              <w:keepNext/>
              <w:keepLines/>
              <w:spacing w:after="0" w:line="240" w:lineRule="auto"/>
              <w:jc w:val="right"/>
            </w:pPr>
            <w:r>
              <w:rPr>
                <w:sz w:val="18"/>
              </w:rPr>
              <w:t>180.671,59</w:t>
            </w:r>
          </w:p>
        </w:tc>
        <w:tc>
          <w:tcPr>
            <w:tcW w:w="1860" w:type="dxa"/>
            <w:tcMar>
              <w:top w:w="0" w:type="dxa"/>
              <w:bottom w:w="0" w:type="dxa"/>
            </w:tcMar>
            <w:vAlign w:val="center"/>
          </w:tcPr>
          <w:p w:rsidR="007B042B" w:rsidRDefault="00423A89">
            <w:pPr>
              <w:keepNext/>
              <w:keepLines/>
              <w:spacing w:after="0" w:line="240" w:lineRule="auto"/>
              <w:jc w:val="right"/>
            </w:pPr>
            <w:r>
              <w:rPr>
                <w:sz w:val="18"/>
              </w:rPr>
              <w:t>214.128,80</w:t>
            </w:r>
          </w:p>
        </w:tc>
        <w:tc>
          <w:tcPr>
            <w:tcW w:w="700" w:type="dxa"/>
            <w:tcMar>
              <w:top w:w="0" w:type="dxa"/>
              <w:bottom w:w="0" w:type="dxa"/>
            </w:tcMar>
            <w:vAlign w:val="center"/>
          </w:tcPr>
          <w:p w:rsidR="007B042B" w:rsidRDefault="00423A89">
            <w:pPr>
              <w:keepNext/>
              <w:keepLines/>
              <w:spacing w:after="0" w:line="240" w:lineRule="auto"/>
              <w:jc w:val="right"/>
            </w:pPr>
            <w:r>
              <w:rPr>
                <w:sz w:val="18"/>
              </w:rPr>
              <w:t>118,5</w:t>
            </w:r>
          </w:p>
        </w:tc>
      </w:tr>
    </w:tbl>
    <w:p w:rsidR="007B042B" w:rsidRDefault="007B042B">
      <w:pPr>
        <w:spacing w:after="0"/>
      </w:pPr>
    </w:p>
    <w:p w:rsidR="007B042B" w:rsidRDefault="00423A89">
      <w:r>
        <w:t>Povećanje u odnosu na prethodnu godinu je zbog povećanja iznosa satnice za rad vanjskih suradnika i povećan broj polaznika stručnog studija.</w:t>
      </w:r>
    </w:p>
    <w:p w:rsidR="007B042B" w:rsidRDefault="007B042B"/>
    <w:p w:rsidR="007B042B" w:rsidRDefault="00423A89">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w:t>
            </w:r>
            <w:r>
              <w:rPr>
                <w:b/>
                <w:sz w:val="18"/>
              </w:rPr>
              <w:t xml:space="preserve">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3238</w:t>
            </w:r>
          </w:p>
        </w:tc>
        <w:tc>
          <w:tcPr>
            <w:tcW w:w="3180" w:type="dxa"/>
            <w:tcMar>
              <w:top w:w="0" w:type="dxa"/>
              <w:bottom w:w="0" w:type="dxa"/>
            </w:tcMar>
            <w:vAlign w:val="center"/>
          </w:tcPr>
          <w:p w:rsidR="007B042B" w:rsidRDefault="00423A89">
            <w:pPr>
              <w:keepNext/>
              <w:keepLines/>
              <w:spacing w:after="0" w:line="240" w:lineRule="auto"/>
            </w:pPr>
            <w:r>
              <w:rPr>
                <w:sz w:val="18"/>
              </w:rPr>
              <w:t>Računalne usluge</w:t>
            </w:r>
          </w:p>
        </w:tc>
        <w:tc>
          <w:tcPr>
            <w:tcW w:w="700" w:type="dxa"/>
            <w:tcMar>
              <w:top w:w="0" w:type="dxa"/>
              <w:bottom w:w="0" w:type="dxa"/>
            </w:tcMar>
            <w:vAlign w:val="center"/>
          </w:tcPr>
          <w:p w:rsidR="007B042B" w:rsidRDefault="00423A89">
            <w:pPr>
              <w:keepNext/>
              <w:keepLines/>
              <w:spacing w:after="0" w:line="240" w:lineRule="auto"/>
            </w:pPr>
            <w:r>
              <w:rPr>
                <w:sz w:val="18"/>
              </w:rPr>
              <w:t>3238</w:t>
            </w:r>
          </w:p>
        </w:tc>
        <w:tc>
          <w:tcPr>
            <w:tcW w:w="1860" w:type="dxa"/>
            <w:tcMar>
              <w:top w:w="0" w:type="dxa"/>
              <w:bottom w:w="0" w:type="dxa"/>
            </w:tcMar>
            <w:vAlign w:val="center"/>
          </w:tcPr>
          <w:p w:rsidR="007B042B" w:rsidRDefault="00423A89">
            <w:pPr>
              <w:keepNext/>
              <w:keepLines/>
              <w:spacing w:after="0" w:line="240" w:lineRule="auto"/>
              <w:jc w:val="right"/>
            </w:pPr>
            <w:r>
              <w:rPr>
                <w:sz w:val="18"/>
              </w:rPr>
              <w:t>5.872,20</w:t>
            </w:r>
          </w:p>
        </w:tc>
        <w:tc>
          <w:tcPr>
            <w:tcW w:w="1860" w:type="dxa"/>
            <w:tcMar>
              <w:top w:w="0" w:type="dxa"/>
              <w:bottom w:w="0" w:type="dxa"/>
            </w:tcMar>
            <w:vAlign w:val="center"/>
          </w:tcPr>
          <w:p w:rsidR="007B042B" w:rsidRDefault="00423A89">
            <w:pPr>
              <w:keepNext/>
              <w:keepLines/>
              <w:spacing w:after="0" w:line="240" w:lineRule="auto"/>
              <w:jc w:val="right"/>
            </w:pPr>
            <w:r>
              <w:rPr>
                <w:sz w:val="18"/>
              </w:rPr>
              <w:t>8.113,50</w:t>
            </w:r>
          </w:p>
        </w:tc>
        <w:tc>
          <w:tcPr>
            <w:tcW w:w="700" w:type="dxa"/>
            <w:tcMar>
              <w:top w:w="0" w:type="dxa"/>
              <w:bottom w:w="0" w:type="dxa"/>
            </w:tcMar>
            <w:vAlign w:val="center"/>
          </w:tcPr>
          <w:p w:rsidR="007B042B" w:rsidRDefault="00423A89">
            <w:pPr>
              <w:keepNext/>
              <w:keepLines/>
              <w:spacing w:after="0" w:line="240" w:lineRule="auto"/>
              <w:jc w:val="right"/>
            </w:pPr>
            <w:r>
              <w:rPr>
                <w:sz w:val="18"/>
              </w:rPr>
              <w:t>138,2</w:t>
            </w:r>
          </w:p>
        </w:tc>
      </w:tr>
    </w:tbl>
    <w:p w:rsidR="007B042B" w:rsidRDefault="007B042B">
      <w:pPr>
        <w:spacing w:after="0"/>
      </w:pPr>
    </w:p>
    <w:p w:rsidR="007B042B" w:rsidRDefault="00423A89">
      <w:r>
        <w:t>Održavanje postojećih i novih programskih rješenja.</w:t>
      </w:r>
    </w:p>
    <w:p w:rsidR="007B042B" w:rsidRDefault="007B042B"/>
    <w:p w:rsidR="007B042B" w:rsidRDefault="00423A89">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3293</w:t>
            </w:r>
          </w:p>
        </w:tc>
        <w:tc>
          <w:tcPr>
            <w:tcW w:w="3180" w:type="dxa"/>
            <w:tcMar>
              <w:top w:w="0" w:type="dxa"/>
              <w:bottom w:w="0" w:type="dxa"/>
            </w:tcMar>
            <w:vAlign w:val="center"/>
          </w:tcPr>
          <w:p w:rsidR="007B042B" w:rsidRDefault="00423A89">
            <w:pPr>
              <w:keepNext/>
              <w:keepLines/>
              <w:spacing w:after="0" w:line="240" w:lineRule="auto"/>
            </w:pPr>
            <w:r>
              <w:rPr>
                <w:sz w:val="18"/>
              </w:rPr>
              <w:t>Reprezentacija</w:t>
            </w:r>
          </w:p>
        </w:tc>
        <w:tc>
          <w:tcPr>
            <w:tcW w:w="700" w:type="dxa"/>
            <w:tcMar>
              <w:top w:w="0" w:type="dxa"/>
              <w:bottom w:w="0" w:type="dxa"/>
            </w:tcMar>
            <w:vAlign w:val="center"/>
          </w:tcPr>
          <w:p w:rsidR="007B042B" w:rsidRDefault="00423A89">
            <w:pPr>
              <w:keepNext/>
              <w:keepLines/>
              <w:spacing w:after="0" w:line="240" w:lineRule="auto"/>
            </w:pPr>
            <w:r>
              <w:rPr>
                <w:sz w:val="18"/>
              </w:rPr>
              <w:t>3293</w:t>
            </w:r>
          </w:p>
        </w:tc>
        <w:tc>
          <w:tcPr>
            <w:tcW w:w="1860" w:type="dxa"/>
            <w:tcMar>
              <w:top w:w="0" w:type="dxa"/>
              <w:bottom w:w="0" w:type="dxa"/>
            </w:tcMar>
            <w:vAlign w:val="center"/>
          </w:tcPr>
          <w:p w:rsidR="007B042B" w:rsidRDefault="00423A89">
            <w:pPr>
              <w:keepNext/>
              <w:keepLines/>
              <w:spacing w:after="0" w:line="240" w:lineRule="auto"/>
              <w:jc w:val="right"/>
            </w:pPr>
            <w:r>
              <w:rPr>
                <w:sz w:val="18"/>
              </w:rPr>
              <w:t>16.565,51</w:t>
            </w:r>
          </w:p>
        </w:tc>
        <w:tc>
          <w:tcPr>
            <w:tcW w:w="1860" w:type="dxa"/>
            <w:tcMar>
              <w:top w:w="0" w:type="dxa"/>
              <w:bottom w:w="0" w:type="dxa"/>
            </w:tcMar>
            <w:vAlign w:val="center"/>
          </w:tcPr>
          <w:p w:rsidR="007B042B" w:rsidRDefault="00423A89">
            <w:pPr>
              <w:keepNext/>
              <w:keepLines/>
              <w:spacing w:after="0" w:line="240" w:lineRule="auto"/>
              <w:jc w:val="right"/>
            </w:pPr>
            <w:r>
              <w:rPr>
                <w:sz w:val="18"/>
              </w:rPr>
              <w:t>5.234,97</w:t>
            </w:r>
          </w:p>
        </w:tc>
        <w:tc>
          <w:tcPr>
            <w:tcW w:w="700" w:type="dxa"/>
            <w:tcMar>
              <w:top w:w="0" w:type="dxa"/>
              <w:bottom w:w="0" w:type="dxa"/>
            </w:tcMar>
            <w:vAlign w:val="center"/>
          </w:tcPr>
          <w:p w:rsidR="007B042B" w:rsidRDefault="00423A89">
            <w:pPr>
              <w:keepNext/>
              <w:keepLines/>
              <w:spacing w:after="0" w:line="240" w:lineRule="auto"/>
              <w:jc w:val="right"/>
            </w:pPr>
            <w:r>
              <w:rPr>
                <w:sz w:val="18"/>
              </w:rPr>
              <w:t>31,6</w:t>
            </w:r>
          </w:p>
        </w:tc>
      </w:tr>
    </w:tbl>
    <w:p w:rsidR="007B042B" w:rsidRDefault="007B042B">
      <w:pPr>
        <w:spacing w:after="0"/>
      </w:pPr>
    </w:p>
    <w:p w:rsidR="007B042B" w:rsidRDefault="00423A89">
      <w:r>
        <w:t>iznos je manji u odnosu na prethodnu godinu zbog manjeg broja aktivnosti povezanih s promocijom fakulteta i organizacijom kongresa.</w:t>
      </w:r>
    </w:p>
    <w:p w:rsidR="007B042B" w:rsidRDefault="007B042B"/>
    <w:p w:rsidR="007B042B" w:rsidRDefault="00423A8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3299</w:t>
            </w:r>
          </w:p>
        </w:tc>
        <w:tc>
          <w:tcPr>
            <w:tcW w:w="3180" w:type="dxa"/>
            <w:tcMar>
              <w:top w:w="0" w:type="dxa"/>
              <w:bottom w:w="0" w:type="dxa"/>
            </w:tcMar>
            <w:vAlign w:val="center"/>
          </w:tcPr>
          <w:p w:rsidR="007B042B" w:rsidRDefault="00423A89">
            <w:pPr>
              <w:keepNext/>
              <w:keepLines/>
              <w:spacing w:after="0" w:line="240" w:lineRule="auto"/>
            </w:pPr>
            <w:r>
              <w:rPr>
                <w:sz w:val="18"/>
              </w:rPr>
              <w:t>Ostali nespomenuti rashodi poslovanja</w:t>
            </w:r>
          </w:p>
        </w:tc>
        <w:tc>
          <w:tcPr>
            <w:tcW w:w="700" w:type="dxa"/>
            <w:tcMar>
              <w:top w:w="0" w:type="dxa"/>
              <w:bottom w:w="0" w:type="dxa"/>
            </w:tcMar>
            <w:vAlign w:val="center"/>
          </w:tcPr>
          <w:p w:rsidR="007B042B" w:rsidRDefault="00423A89">
            <w:pPr>
              <w:keepNext/>
              <w:keepLines/>
              <w:spacing w:after="0" w:line="240" w:lineRule="auto"/>
            </w:pPr>
            <w:r>
              <w:rPr>
                <w:sz w:val="18"/>
              </w:rPr>
              <w:t>3299</w:t>
            </w:r>
          </w:p>
        </w:tc>
        <w:tc>
          <w:tcPr>
            <w:tcW w:w="1860" w:type="dxa"/>
            <w:tcMar>
              <w:top w:w="0" w:type="dxa"/>
              <w:bottom w:w="0" w:type="dxa"/>
            </w:tcMar>
            <w:vAlign w:val="center"/>
          </w:tcPr>
          <w:p w:rsidR="007B042B" w:rsidRDefault="00423A89">
            <w:pPr>
              <w:keepNext/>
              <w:keepLines/>
              <w:spacing w:after="0" w:line="240" w:lineRule="auto"/>
              <w:jc w:val="right"/>
            </w:pPr>
            <w:r>
              <w:rPr>
                <w:sz w:val="18"/>
              </w:rPr>
              <w:t>10.767,25</w:t>
            </w:r>
          </w:p>
        </w:tc>
        <w:tc>
          <w:tcPr>
            <w:tcW w:w="1860" w:type="dxa"/>
            <w:tcMar>
              <w:top w:w="0" w:type="dxa"/>
              <w:bottom w:w="0" w:type="dxa"/>
            </w:tcMar>
            <w:vAlign w:val="center"/>
          </w:tcPr>
          <w:p w:rsidR="007B042B" w:rsidRDefault="00423A89">
            <w:pPr>
              <w:keepNext/>
              <w:keepLines/>
              <w:spacing w:after="0" w:line="240" w:lineRule="auto"/>
              <w:jc w:val="right"/>
            </w:pPr>
            <w:r>
              <w:rPr>
                <w:sz w:val="18"/>
              </w:rPr>
              <w:t>115.048,42</w:t>
            </w:r>
          </w:p>
        </w:tc>
        <w:tc>
          <w:tcPr>
            <w:tcW w:w="700" w:type="dxa"/>
            <w:tcMar>
              <w:top w:w="0" w:type="dxa"/>
              <w:bottom w:w="0" w:type="dxa"/>
            </w:tcMar>
            <w:vAlign w:val="center"/>
          </w:tcPr>
          <w:p w:rsidR="007B042B" w:rsidRDefault="00423A89">
            <w:pPr>
              <w:keepNext/>
              <w:keepLines/>
              <w:spacing w:after="0" w:line="240" w:lineRule="auto"/>
              <w:jc w:val="right"/>
            </w:pPr>
            <w:r>
              <w:rPr>
                <w:sz w:val="18"/>
              </w:rPr>
              <w:t>1068,5</w:t>
            </w:r>
          </w:p>
        </w:tc>
      </w:tr>
    </w:tbl>
    <w:p w:rsidR="007B042B" w:rsidRDefault="007B042B">
      <w:pPr>
        <w:spacing w:after="0"/>
      </w:pPr>
    </w:p>
    <w:p w:rsidR="007B042B" w:rsidRDefault="00423A89">
      <w:r>
        <w:t>Značajno odstupanje je posljedica promjene načina knjiženja obveze za prijenos prihoda od školarina i vlastitih prihoda Sveučilištu u Splitu. Naime prije bi se samo stornirao prihod, a od 1.1.25. stvara se obveza i trošak. Ne koristi se više račun 2395.</w:t>
      </w:r>
    </w:p>
    <w:p w:rsidR="007B042B" w:rsidRDefault="007B042B"/>
    <w:p w:rsidR="007B042B" w:rsidRDefault="00423A89">
      <w:pPr>
        <w:keepNext/>
        <w:spacing w:line="240" w:lineRule="auto"/>
        <w:jc w:val="center"/>
      </w:pPr>
      <w:r>
        <w:rPr>
          <w:sz w:val="28"/>
        </w:rPr>
        <w:t>B</w:t>
      </w:r>
      <w:r>
        <w:rPr>
          <w:sz w:val="28"/>
        </w:rPr>
        <w:t>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7B042B">
            <w:pPr>
              <w:keepNext/>
              <w:keepLines/>
              <w:spacing w:after="0" w:line="240" w:lineRule="auto"/>
            </w:pPr>
          </w:p>
        </w:tc>
        <w:tc>
          <w:tcPr>
            <w:tcW w:w="3180" w:type="dxa"/>
            <w:tcMar>
              <w:top w:w="0" w:type="dxa"/>
              <w:bottom w:w="0" w:type="dxa"/>
            </w:tcMar>
            <w:vAlign w:val="center"/>
          </w:tcPr>
          <w:p w:rsidR="007B042B" w:rsidRDefault="00423A89">
            <w:pPr>
              <w:keepNext/>
              <w:keepLines/>
              <w:spacing w:after="0" w:line="240" w:lineRule="auto"/>
            </w:pPr>
            <w:r>
              <w:rPr>
                <w:sz w:val="18"/>
              </w:rPr>
              <w:t>VIŠAK PRIHODA POSLOVANJA (šifre 6-Z005)</w:t>
            </w:r>
          </w:p>
        </w:tc>
        <w:tc>
          <w:tcPr>
            <w:tcW w:w="700" w:type="dxa"/>
            <w:tcMar>
              <w:top w:w="0" w:type="dxa"/>
              <w:bottom w:w="0" w:type="dxa"/>
            </w:tcMar>
            <w:vAlign w:val="center"/>
          </w:tcPr>
          <w:p w:rsidR="007B042B" w:rsidRDefault="00423A89">
            <w:pPr>
              <w:keepNext/>
              <w:keepLines/>
              <w:spacing w:after="0" w:line="240" w:lineRule="auto"/>
            </w:pPr>
            <w:r>
              <w:rPr>
                <w:sz w:val="18"/>
              </w:rPr>
              <w:t>X001</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1860" w:type="dxa"/>
            <w:tcMar>
              <w:top w:w="0" w:type="dxa"/>
              <w:bottom w:w="0" w:type="dxa"/>
            </w:tcMar>
            <w:vAlign w:val="center"/>
          </w:tcPr>
          <w:p w:rsidR="007B042B" w:rsidRDefault="00423A89">
            <w:pPr>
              <w:keepNext/>
              <w:keepLines/>
              <w:spacing w:after="0" w:line="240" w:lineRule="auto"/>
              <w:jc w:val="right"/>
            </w:pPr>
            <w:r>
              <w:rPr>
                <w:sz w:val="18"/>
              </w:rPr>
              <w:t>109.965,23</w:t>
            </w:r>
          </w:p>
        </w:tc>
        <w:tc>
          <w:tcPr>
            <w:tcW w:w="700" w:type="dxa"/>
            <w:tcMar>
              <w:top w:w="0" w:type="dxa"/>
              <w:bottom w:w="0" w:type="dxa"/>
            </w:tcMar>
            <w:vAlign w:val="center"/>
          </w:tcPr>
          <w:p w:rsidR="007B042B" w:rsidRDefault="00423A89">
            <w:pPr>
              <w:keepNext/>
              <w:keepLines/>
              <w:spacing w:after="0" w:line="240" w:lineRule="auto"/>
              <w:jc w:val="right"/>
            </w:pPr>
            <w:r>
              <w:rPr>
                <w:sz w:val="18"/>
              </w:rPr>
              <w:t>-</w:t>
            </w:r>
          </w:p>
        </w:tc>
      </w:tr>
    </w:tbl>
    <w:p w:rsidR="007B042B" w:rsidRDefault="007B042B">
      <w:pPr>
        <w:spacing w:after="0"/>
      </w:pPr>
    </w:p>
    <w:p w:rsidR="007B042B" w:rsidRDefault="00423A89">
      <w:r>
        <w:t>Ostvareni višak bio bi i veći međutim zbog stupanja na snagu novog Pravilnika o proračunskom računovodstvu i Računskom planu (Nar. nov., br. 158/23).  Člankom 233. novoga Pravilnika propisano je da se podskupina računa 193 Kontinuirani rashodi budućih razd</w:t>
      </w:r>
      <w:r>
        <w:t>oblja ukida te da se s danom 1. siječnja 2025. kontinuirani rashodi budućih razdoblja prenose na odgovarajuće račune razreda 3.</w:t>
      </w:r>
    </w:p>
    <w:p w:rsidR="007B042B" w:rsidRDefault="007B042B"/>
    <w:p w:rsidR="007B042B" w:rsidRDefault="00423A89">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w:t>
            </w:r>
            <w:r>
              <w:rPr>
                <w:b/>
                <w:sz w:val="18"/>
              </w:rPr>
              <w:t xml:space="preserve">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7B042B">
            <w:pPr>
              <w:keepNext/>
              <w:keepLines/>
              <w:spacing w:after="0" w:line="240" w:lineRule="auto"/>
            </w:pPr>
          </w:p>
        </w:tc>
        <w:tc>
          <w:tcPr>
            <w:tcW w:w="3180" w:type="dxa"/>
            <w:tcMar>
              <w:top w:w="0" w:type="dxa"/>
              <w:bottom w:w="0" w:type="dxa"/>
            </w:tcMar>
            <w:vAlign w:val="center"/>
          </w:tcPr>
          <w:p w:rsidR="007B042B" w:rsidRDefault="00423A89">
            <w:pPr>
              <w:keepNext/>
              <w:keepLines/>
              <w:spacing w:after="0" w:line="240" w:lineRule="auto"/>
            </w:pPr>
            <w:r>
              <w:rPr>
                <w:sz w:val="18"/>
              </w:rPr>
              <w:t>MANJAK PRIHODA POSLOVANJA (šifre Z005-6)</w:t>
            </w:r>
          </w:p>
        </w:tc>
        <w:tc>
          <w:tcPr>
            <w:tcW w:w="700" w:type="dxa"/>
            <w:tcMar>
              <w:top w:w="0" w:type="dxa"/>
              <w:bottom w:w="0" w:type="dxa"/>
            </w:tcMar>
            <w:vAlign w:val="center"/>
          </w:tcPr>
          <w:p w:rsidR="007B042B" w:rsidRDefault="00423A89">
            <w:pPr>
              <w:keepNext/>
              <w:keepLines/>
              <w:spacing w:after="0" w:line="240" w:lineRule="auto"/>
            </w:pPr>
            <w:r>
              <w:rPr>
                <w:sz w:val="18"/>
              </w:rPr>
              <w:t>Y001</w:t>
            </w:r>
          </w:p>
        </w:tc>
        <w:tc>
          <w:tcPr>
            <w:tcW w:w="1860" w:type="dxa"/>
            <w:tcMar>
              <w:top w:w="0" w:type="dxa"/>
              <w:bottom w:w="0" w:type="dxa"/>
            </w:tcMar>
            <w:vAlign w:val="center"/>
          </w:tcPr>
          <w:p w:rsidR="007B042B" w:rsidRDefault="00423A89">
            <w:pPr>
              <w:keepNext/>
              <w:keepLines/>
              <w:spacing w:after="0" w:line="240" w:lineRule="auto"/>
              <w:jc w:val="right"/>
            </w:pPr>
            <w:r>
              <w:rPr>
                <w:sz w:val="18"/>
              </w:rPr>
              <w:t>32.252,49</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700" w:type="dxa"/>
            <w:tcMar>
              <w:top w:w="0" w:type="dxa"/>
              <w:bottom w:w="0" w:type="dxa"/>
            </w:tcMar>
            <w:vAlign w:val="center"/>
          </w:tcPr>
          <w:p w:rsidR="007B042B" w:rsidRDefault="00423A89">
            <w:pPr>
              <w:keepNext/>
              <w:keepLines/>
              <w:spacing w:after="0" w:line="240" w:lineRule="auto"/>
              <w:jc w:val="right"/>
            </w:pPr>
            <w:r>
              <w:rPr>
                <w:sz w:val="18"/>
              </w:rPr>
              <w:t>0</w:t>
            </w:r>
          </w:p>
        </w:tc>
      </w:tr>
    </w:tbl>
    <w:p w:rsidR="007B042B" w:rsidRDefault="007B042B">
      <w:pPr>
        <w:spacing w:after="0"/>
      </w:pPr>
    </w:p>
    <w:p w:rsidR="007B042B" w:rsidRDefault="00423A89">
      <w:r>
        <w:t>odlukom o raspodjeli rezultata nastali manjak rasporedit će se sukladno izvorima financiranja na prenesene viškove.</w:t>
      </w:r>
    </w:p>
    <w:p w:rsidR="007B042B" w:rsidRDefault="007B042B"/>
    <w:p w:rsidR="007B042B" w:rsidRDefault="00423A89">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4221</w:t>
            </w:r>
          </w:p>
        </w:tc>
        <w:tc>
          <w:tcPr>
            <w:tcW w:w="3180" w:type="dxa"/>
            <w:tcMar>
              <w:top w:w="0" w:type="dxa"/>
              <w:bottom w:w="0" w:type="dxa"/>
            </w:tcMar>
            <w:vAlign w:val="center"/>
          </w:tcPr>
          <w:p w:rsidR="007B042B" w:rsidRDefault="00423A89">
            <w:pPr>
              <w:keepNext/>
              <w:keepLines/>
              <w:spacing w:after="0" w:line="240" w:lineRule="auto"/>
            </w:pPr>
            <w:r>
              <w:rPr>
                <w:sz w:val="18"/>
              </w:rPr>
              <w:t>Uredska oprema i namještaj</w:t>
            </w:r>
          </w:p>
        </w:tc>
        <w:tc>
          <w:tcPr>
            <w:tcW w:w="700" w:type="dxa"/>
            <w:tcMar>
              <w:top w:w="0" w:type="dxa"/>
              <w:bottom w:w="0" w:type="dxa"/>
            </w:tcMar>
            <w:vAlign w:val="center"/>
          </w:tcPr>
          <w:p w:rsidR="007B042B" w:rsidRDefault="00423A89">
            <w:pPr>
              <w:keepNext/>
              <w:keepLines/>
              <w:spacing w:after="0" w:line="240" w:lineRule="auto"/>
            </w:pPr>
            <w:r>
              <w:rPr>
                <w:sz w:val="18"/>
              </w:rPr>
              <w:t>4221</w:t>
            </w:r>
          </w:p>
        </w:tc>
        <w:tc>
          <w:tcPr>
            <w:tcW w:w="1860" w:type="dxa"/>
            <w:tcMar>
              <w:top w:w="0" w:type="dxa"/>
              <w:bottom w:w="0" w:type="dxa"/>
            </w:tcMar>
            <w:vAlign w:val="center"/>
          </w:tcPr>
          <w:p w:rsidR="007B042B" w:rsidRDefault="00423A89">
            <w:pPr>
              <w:keepNext/>
              <w:keepLines/>
              <w:spacing w:after="0" w:line="240" w:lineRule="auto"/>
              <w:jc w:val="right"/>
            </w:pPr>
            <w:r>
              <w:rPr>
                <w:sz w:val="18"/>
              </w:rPr>
              <w:t>50.980,68</w:t>
            </w:r>
          </w:p>
        </w:tc>
        <w:tc>
          <w:tcPr>
            <w:tcW w:w="1860" w:type="dxa"/>
            <w:tcMar>
              <w:top w:w="0" w:type="dxa"/>
              <w:bottom w:w="0" w:type="dxa"/>
            </w:tcMar>
            <w:vAlign w:val="center"/>
          </w:tcPr>
          <w:p w:rsidR="007B042B" w:rsidRDefault="00423A89">
            <w:pPr>
              <w:keepNext/>
              <w:keepLines/>
              <w:spacing w:after="0" w:line="240" w:lineRule="auto"/>
              <w:jc w:val="right"/>
            </w:pPr>
            <w:r>
              <w:rPr>
                <w:sz w:val="18"/>
              </w:rPr>
              <w:t>29.376,18</w:t>
            </w:r>
          </w:p>
        </w:tc>
        <w:tc>
          <w:tcPr>
            <w:tcW w:w="700" w:type="dxa"/>
            <w:tcMar>
              <w:top w:w="0" w:type="dxa"/>
              <w:bottom w:w="0" w:type="dxa"/>
            </w:tcMar>
            <w:vAlign w:val="center"/>
          </w:tcPr>
          <w:p w:rsidR="007B042B" w:rsidRDefault="00423A89">
            <w:pPr>
              <w:keepNext/>
              <w:keepLines/>
              <w:spacing w:after="0" w:line="240" w:lineRule="auto"/>
              <w:jc w:val="right"/>
            </w:pPr>
            <w:r>
              <w:rPr>
                <w:sz w:val="18"/>
              </w:rPr>
              <w:t>57,6</w:t>
            </w:r>
          </w:p>
        </w:tc>
      </w:tr>
    </w:tbl>
    <w:p w:rsidR="007B042B" w:rsidRDefault="007B042B">
      <w:pPr>
        <w:spacing w:after="0"/>
      </w:pPr>
    </w:p>
    <w:p w:rsidR="007B042B" w:rsidRDefault="00423A89">
      <w:r>
        <w:t>U odnosu na prethodnu godinu nabavljeno je manje uredske opreme i namještaja jer je većina nabavljena u 2024.godini prilikom preseljenja u novu zgradu.</w:t>
      </w:r>
    </w:p>
    <w:p w:rsidR="007B042B" w:rsidRDefault="007B042B"/>
    <w:p w:rsidR="007B042B" w:rsidRDefault="00423A8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4225</w:t>
            </w:r>
          </w:p>
        </w:tc>
        <w:tc>
          <w:tcPr>
            <w:tcW w:w="3180" w:type="dxa"/>
            <w:tcMar>
              <w:top w:w="0" w:type="dxa"/>
              <w:bottom w:w="0" w:type="dxa"/>
            </w:tcMar>
            <w:vAlign w:val="center"/>
          </w:tcPr>
          <w:p w:rsidR="007B042B" w:rsidRDefault="00423A89">
            <w:pPr>
              <w:keepNext/>
              <w:keepLines/>
              <w:spacing w:after="0" w:line="240" w:lineRule="auto"/>
            </w:pPr>
            <w:r>
              <w:rPr>
                <w:sz w:val="18"/>
              </w:rPr>
              <w:t>Instrumenti i uređaji</w:t>
            </w:r>
          </w:p>
        </w:tc>
        <w:tc>
          <w:tcPr>
            <w:tcW w:w="700" w:type="dxa"/>
            <w:tcMar>
              <w:top w:w="0" w:type="dxa"/>
              <w:bottom w:w="0" w:type="dxa"/>
            </w:tcMar>
            <w:vAlign w:val="center"/>
          </w:tcPr>
          <w:p w:rsidR="007B042B" w:rsidRDefault="00423A89">
            <w:pPr>
              <w:keepNext/>
              <w:keepLines/>
              <w:spacing w:after="0" w:line="240" w:lineRule="auto"/>
            </w:pPr>
            <w:r>
              <w:rPr>
                <w:sz w:val="18"/>
              </w:rPr>
              <w:t>4225</w:t>
            </w:r>
          </w:p>
        </w:tc>
        <w:tc>
          <w:tcPr>
            <w:tcW w:w="1860" w:type="dxa"/>
            <w:tcMar>
              <w:top w:w="0" w:type="dxa"/>
              <w:bottom w:w="0" w:type="dxa"/>
            </w:tcMar>
            <w:vAlign w:val="center"/>
          </w:tcPr>
          <w:p w:rsidR="007B042B" w:rsidRDefault="00423A89">
            <w:pPr>
              <w:keepNext/>
              <w:keepLines/>
              <w:spacing w:after="0" w:line="240" w:lineRule="auto"/>
              <w:jc w:val="right"/>
            </w:pPr>
            <w:r>
              <w:rPr>
                <w:sz w:val="18"/>
              </w:rPr>
              <w:t>3.120,56</w:t>
            </w:r>
          </w:p>
        </w:tc>
        <w:tc>
          <w:tcPr>
            <w:tcW w:w="1860" w:type="dxa"/>
            <w:tcMar>
              <w:top w:w="0" w:type="dxa"/>
              <w:bottom w:w="0" w:type="dxa"/>
            </w:tcMar>
            <w:vAlign w:val="center"/>
          </w:tcPr>
          <w:p w:rsidR="007B042B" w:rsidRDefault="00423A89">
            <w:pPr>
              <w:keepNext/>
              <w:keepLines/>
              <w:spacing w:after="0" w:line="240" w:lineRule="auto"/>
              <w:jc w:val="right"/>
            </w:pPr>
            <w:r>
              <w:rPr>
                <w:sz w:val="18"/>
              </w:rPr>
              <w:t>17.103,61</w:t>
            </w:r>
          </w:p>
        </w:tc>
        <w:tc>
          <w:tcPr>
            <w:tcW w:w="700" w:type="dxa"/>
            <w:tcMar>
              <w:top w:w="0" w:type="dxa"/>
              <w:bottom w:w="0" w:type="dxa"/>
            </w:tcMar>
            <w:vAlign w:val="center"/>
          </w:tcPr>
          <w:p w:rsidR="007B042B" w:rsidRDefault="00423A89">
            <w:pPr>
              <w:keepNext/>
              <w:keepLines/>
              <w:spacing w:after="0" w:line="240" w:lineRule="auto"/>
              <w:jc w:val="right"/>
            </w:pPr>
            <w:r>
              <w:rPr>
                <w:sz w:val="18"/>
              </w:rPr>
              <w:t>548,1</w:t>
            </w:r>
          </w:p>
        </w:tc>
      </w:tr>
    </w:tbl>
    <w:p w:rsidR="007B042B" w:rsidRDefault="007B042B">
      <w:pPr>
        <w:spacing w:after="0"/>
      </w:pPr>
    </w:p>
    <w:p w:rsidR="007B042B" w:rsidRDefault="00423A89">
      <w:r>
        <w:t>Povećan iznos rashoda na ovoj stavci je zbog nabavke opreme prema dinamici projekata.</w:t>
      </w:r>
    </w:p>
    <w:p w:rsidR="007B042B" w:rsidRDefault="007B042B"/>
    <w:p w:rsidR="007B042B" w:rsidRDefault="00423A89">
      <w:pPr>
        <w:keepNext/>
        <w:spacing w:line="240" w:lineRule="auto"/>
        <w:jc w:val="center"/>
      </w:pPr>
      <w:r>
        <w:rPr>
          <w:b/>
          <w:sz w:val="28"/>
        </w:rPr>
        <w:t>Bilanca</w:t>
      </w:r>
    </w:p>
    <w:p w:rsidR="007B042B" w:rsidRDefault="00423A8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11</w:t>
            </w:r>
          </w:p>
        </w:tc>
        <w:tc>
          <w:tcPr>
            <w:tcW w:w="3180" w:type="dxa"/>
            <w:tcMar>
              <w:top w:w="0" w:type="dxa"/>
              <w:bottom w:w="0" w:type="dxa"/>
            </w:tcMar>
            <w:vAlign w:val="center"/>
          </w:tcPr>
          <w:p w:rsidR="007B042B" w:rsidRDefault="00423A89">
            <w:pPr>
              <w:keepNext/>
              <w:keepLines/>
              <w:spacing w:after="0" w:line="240" w:lineRule="auto"/>
            </w:pPr>
            <w:r>
              <w:rPr>
                <w:sz w:val="18"/>
              </w:rPr>
              <w:t>Novac u banci i blagajni (šifre 111+112 do 114)</w:t>
            </w:r>
          </w:p>
        </w:tc>
        <w:tc>
          <w:tcPr>
            <w:tcW w:w="700" w:type="dxa"/>
            <w:tcMar>
              <w:top w:w="0" w:type="dxa"/>
              <w:bottom w:w="0" w:type="dxa"/>
            </w:tcMar>
            <w:vAlign w:val="center"/>
          </w:tcPr>
          <w:p w:rsidR="007B042B" w:rsidRDefault="00423A89">
            <w:pPr>
              <w:keepNext/>
              <w:keepLines/>
              <w:spacing w:after="0" w:line="240" w:lineRule="auto"/>
            </w:pPr>
            <w:r>
              <w:rPr>
                <w:sz w:val="18"/>
              </w:rPr>
              <w:t>11</w:t>
            </w:r>
          </w:p>
        </w:tc>
        <w:tc>
          <w:tcPr>
            <w:tcW w:w="1860" w:type="dxa"/>
            <w:tcMar>
              <w:top w:w="0" w:type="dxa"/>
              <w:bottom w:w="0" w:type="dxa"/>
            </w:tcMar>
            <w:vAlign w:val="center"/>
          </w:tcPr>
          <w:p w:rsidR="007B042B" w:rsidRDefault="00423A89">
            <w:pPr>
              <w:keepNext/>
              <w:keepLines/>
              <w:spacing w:after="0" w:line="240" w:lineRule="auto"/>
              <w:jc w:val="right"/>
            </w:pPr>
            <w:r>
              <w:rPr>
                <w:sz w:val="18"/>
              </w:rPr>
              <w:t>327.947,74</w:t>
            </w:r>
          </w:p>
        </w:tc>
        <w:tc>
          <w:tcPr>
            <w:tcW w:w="1860" w:type="dxa"/>
            <w:tcMar>
              <w:top w:w="0" w:type="dxa"/>
              <w:bottom w:w="0" w:type="dxa"/>
            </w:tcMar>
            <w:vAlign w:val="center"/>
          </w:tcPr>
          <w:p w:rsidR="007B042B" w:rsidRDefault="00423A89">
            <w:pPr>
              <w:keepNext/>
              <w:keepLines/>
              <w:spacing w:after="0" w:line="240" w:lineRule="auto"/>
              <w:jc w:val="right"/>
            </w:pPr>
            <w:r>
              <w:rPr>
                <w:sz w:val="18"/>
              </w:rPr>
              <w:t>719.760,89</w:t>
            </w:r>
          </w:p>
        </w:tc>
        <w:tc>
          <w:tcPr>
            <w:tcW w:w="700" w:type="dxa"/>
            <w:tcMar>
              <w:top w:w="0" w:type="dxa"/>
              <w:bottom w:w="0" w:type="dxa"/>
            </w:tcMar>
            <w:vAlign w:val="center"/>
          </w:tcPr>
          <w:p w:rsidR="007B042B" w:rsidRDefault="00423A89">
            <w:pPr>
              <w:keepNext/>
              <w:keepLines/>
              <w:spacing w:after="0" w:line="240" w:lineRule="auto"/>
              <w:jc w:val="right"/>
            </w:pPr>
            <w:r>
              <w:rPr>
                <w:sz w:val="18"/>
              </w:rPr>
              <w:t>219,5</w:t>
            </w:r>
          </w:p>
        </w:tc>
      </w:tr>
    </w:tbl>
    <w:p w:rsidR="007B042B" w:rsidRDefault="007B042B">
      <w:pPr>
        <w:spacing w:after="0"/>
      </w:pPr>
    </w:p>
    <w:p w:rsidR="007B042B" w:rsidRDefault="00423A89">
      <w:r>
        <w:t>Pozitivno odstupanje u odnosu na prethodnu godinu posljedica je povećanog broja upisanih studenata na stručni studij koji plaćaju puni iznos školarine te smanjene aktivnosti vezanih za daljnje uređenje nove zgrade te sanacije starih prrostora na adresi Tes</w:t>
      </w:r>
      <w:r>
        <w:t>lina 6, a koji su planirani za razdoblje 2026.-2029.godinu.</w:t>
      </w:r>
    </w:p>
    <w:p w:rsidR="007B042B" w:rsidRDefault="007B042B"/>
    <w:p w:rsidR="007B042B" w:rsidRDefault="00423A89">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193</w:t>
            </w:r>
          </w:p>
        </w:tc>
        <w:tc>
          <w:tcPr>
            <w:tcW w:w="3180" w:type="dxa"/>
            <w:tcMar>
              <w:top w:w="0" w:type="dxa"/>
              <w:bottom w:w="0" w:type="dxa"/>
            </w:tcMar>
            <w:vAlign w:val="center"/>
          </w:tcPr>
          <w:p w:rsidR="007B042B" w:rsidRDefault="00423A89">
            <w:pPr>
              <w:keepNext/>
              <w:keepLines/>
              <w:spacing w:after="0" w:line="240" w:lineRule="auto"/>
            </w:pPr>
            <w:r>
              <w:rPr>
                <w:sz w:val="18"/>
              </w:rPr>
              <w:t>Kontinuirani rashodi budućih razdoblja</w:t>
            </w:r>
          </w:p>
        </w:tc>
        <w:tc>
          <w:tcPr>
            <w:tcW w:w="700" w:type="dxa"/>
            <w:tcMar>
              <w:top w:w="0" w:type="dxa"/>
              <w:bottom w:w="0" w:type="dxa"/>
            </w:tcMar>
            <w:vAlign w:val="center"/>
          </w:tcPr>
          <w:p w:rsidR="007B042B" w:rsidRDefault="00423A89">
            <w:pPr>
              <w:keepNext/>
              <w:keepLines/>
              <w:spacing w:after="0" w:line="240" w:lineRule="auto"/>
            </w:pPr>
            <w:r>
              <w:rPr>
                <w:sz w:val="18"/>
              </w:rPr>
              <w:t>193</w:t>
            </w:r>
          </w:p>
        </w:tc>
        <w:tc>
          <w:tcPr>
            <w:tcW w:w="1860" w:type="dxa"/>
            <w:tcMar>
              <w:top w:w="0" w:type="dxa"/>
              <w:bottom w:w="0" w:type="dxa"/>
            </w:tcMar>
            <w:vAlign w:val="center"/>
          </w:tcPr>
          <w:p w:rsidR="007B042B" w:rsidRDefault="00423A89">
            <w:pPr>
              <w:keepNext/>
              <w:keepLines/>
              <w:spacing w:after="0" w:line="240" w:lineRule="auto"/>
              <w:jc w:val="right"/>
            </w:pPr>
            <w:r>
              <w:rPr>
                <w:sz w:val="18"/>
              </w:rPr>
              <w:t>239.104,48</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700" w:type="dxa"/>
            <w:tcMar>
              <w:top w:w="0" w:type="dxa"/>
              <w:bottom w:w="0" w:type="dxa"/>
            </w:tcMar>
            <w:vAlign w:val="center"/>
          </w:tcPr>
          <w:p w:rsidR="007B042B" w:rsidRDefault="00423A89">
            <w:pPr>
              <w:keepNext/>
              <w:keepLines/>
              <w:spacing w:after="0" w:line="240" w:lineRule="auto"/>
              <w:jc w:val="right"/>
            </w:pPr>
            <w:r>
              <w:rPr>
                <w:sz w:val="18"/>
              </w:rPr>
              <w:t>0</w:t>
            </w:r>
          </w:p>
        </w:tc>
      </w:tr>
    </w:tbl>
    <w:p w:rsidR="007B042B" w:rsidRDefault="007B042B">
      <w:pPr>
        <w:spacing w:after="0"/>
      </w:pPr>
    </w:p>
    <w:p w:rsidR="007B042B" w:rsidRDefault="00423A89">
      <w:r>
        <w:lastRenderedPageBreak/>
        <w:t xml:space="preserve">Posljedica je stupanja na snagu novog Pravilnika o proračunskom računovodstvu i Računskom planu (Nar. nov., br. 158/23).  Člankom 233. novoga Pravilnika propisano je da se podskupina računa 193 Kontinuirani rashodi budućih razdoblja ukida te da se s danom </w:t>
      </w:r>
      <w:r>
        <w:t>1. siječnja 2025. kontinuirani rashodi budućih razdoblja prenose na odgovarajuće račune razreda 3 Rashodi poslovanja</w:t>
      </w:r>
    </w:p>
    <w:p w:rsidR="007B042B" w:rsidRDefault="007B042B"/>
    <w:p w:rsidR="007B042B" w:rsidRDefault="00423A8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232</w:t>
            </w:r>
          </w:p>
        </w:tc>
        <w:tc>
          <w:tcPr>
            <w:tcW w:w="3180" w:type="dxa"/>
            <w:tcMar>
              <w:top w:w="0" w:type="dxa"/>
              <w:bottom w:w="0" w:type="dxa"/>
            </w:tcMar>
            <w:vAlign w:val="center"/>
          </w:tcPr>
          <w:p w:rsidR="007B042B" w:rsidRDefault="00423A89">
            <w:pPr>
              <w:keepNext/>
              <w:keepLines/>
              <w:spacing w:after="0" w:line="240" w:lineRule="auto"/>
            </w:pPr>
            <w:r>
              <w:rPr>
                <w:sz w:val="18"/>
              </w:rPr>
              <w:t>Obveze za materijalne rashode</w:t>
            </w:r>
          </w:p>
        </w:tc>
        <w:tc>
          <w:tcPr>
            <w:tcW w:w="700" w:type="dxa"/>
            <w:tcMar>
              <w:top w:w="0" w:type="dxa"/>
              <w:bottom w:w="0" w:type="dxa"/>
            </w:tcMar>
            <w:vAlign w:val="center"/>
          </w:tcPr>
          <w:p w:rsidR="007B042B" w:rsidRDefault="00423A89">
            <w:pPr>
              <w:keepNext/>
              <w:keepLines/>
              <w:spacing w:after="0" w:line="240" w:lineRule="auto"/>
            </w:pPr>
            <w:r>
              <w:rPr>
                <w:sz w:val="18"/>
              </w:rPr>
              <w:t>232</w:t>
            </w:r>
          </w:p>
        </w:tc>
        <w:tc>
          <w:tcPr>
            <w:tcW w:w="1860" w:type="dxa"/>
            <w:tcMar>
              <w:top w:w="0" w:type="dxa"/>
              <w:bottom w:w="0" w:type="dxa"/>
            </w:tcMar>
            <w:vAlign w:val="center"/>
          </w:tcPr>
          <w:p w:rsidR="007B042B" w:rsidRDefault="00423A89">
            <w:pPr>
              <w:keepNext/>
              <w:keepLines/>
              <w:spacing w:after="0" w:line="240" w:lineRule="auto"/>
              <w:jc w:val="right"/>
            </w:pPr>
            <w:r>
              <w:rPr>
                <w:sz w:val="18"/>
              </w:rPr>
              <w:t>10.229,74</w:t>
            </w:r>
          </w:p>
        </w:tc>
        <w:tc>
          <w:tcPr>
            <w:tcW w:w="1860" w:type="dxa"/>
            <w:tcMar>
              <w:top w:w="0" w:type="dxa"/>
              <w:bottom w:w="0" w:type="dxa"/>
            </w:tcMar>
            <w:vAlign w:val="center"/>
          </w:tcPr>
          <w:p w:rsidR="007B042B" w:rsidRDefault="00423A89">
            <w:pPr>
              <w:keepNext/>
              <w:keepLines/>
              <w:spacing w:after="0" w:line="240" w:lineRule="auto"/>
              <w:jc w:val="right"/>
            </w:pPr>
            <w:r>
              <w:rPr>
                <w:sz w:val="18"/>
              </w:rPr>
              <w:t>99.899,28</w:t>
            </w:r>
          </w:p>
        </w:tc>
        <w:tc>
          <w:tcPr>
            <w:tcW w:w="700" w:type="dxa"/>
            <w:tcMar>
              <w:top w:w="0" w:type="dxa"/>
              <w:bottom w:w="0" w:type="dxa"/>
            </w:tcMar>
            <w:vAlign w:val="center"/>
          </w:tcPr>
          <w:p w:rsidR="007B042B" w:rsidRDefault="00423A89">
            <w:pPr>
              <w:keepNext/>
              <w:keepLines/>
              <w:spacing w:after="0" w:line="240" w:lineRule="auto"/>
              <w:jc w:val="right"/>
            </w:pPr>
            <w:r>
              <w:rPr>
                <w:sz w:val="18"/>
              </w:rPr>
              <w:t>976,6</w:t>
            </w:r>
          </w:p>
        </w:tc>
      </w:tr>
    </w:tbl>
    <w:p w:rsidR="007B042B" w:rsidRDefault="007B042B">
      <w:pPr>
        <w:spacing w:after="0"/>
      </w:pPr>
    </w:p>
    <w:p w:rsidR="007B042B" w:rsidRDefault="00423A89">
      <w:r>
        <w:t>Značajno odstupanje je posljedica promjene načina knjiženja obveze za prijenos prihoda od školarina i vlastitih prihoda Sveučilištu u Splitu. Naime prije bi se samo stornirao prihod, a od 1.1.25. stvara se obveza i trošak.</w:t>
      </w:r>
    </w:p>
    <w:p w:rsidR="007B042B" w:rsidRDefault="007B042B"/>
    <w:p w:rsidR="007B042B" w:rsidRDefault="00423A8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239</w:t>
            </w:r>
          </w:p>
        </w:tc>
        <w:tc>
          <w:tcPr>
            <w:tcW w:w="3180" w:type="dxa"/>
            <w:tcMar>
              <w:top w:w="0" w:type="dxa"/>
              <w:bottom w:w="0" w:type="dxa"/>
            </w:tcMar>
            <w:vAlign w:val="center"/>
          </w:tcPr>
          <w:p w:rsidR="007B042B" w:rsidRDefault="00423A89">
            <w:pPr>
              <w:keepNext/>
              <w:keepLines/>
              <w:spacing w:after="0" w:line="240" w:lineRule="auto"/>
            </w:pPr>
            <w:r>
              <w:rPr>
                <w:sz w:val="18"/>
              </w:rPr>
              <w:t>Ostale tekuće obveze</w:t>
            </w:r>
          </w:p>
        </w:tc>
        <w:tc>
          <w:tcPr>
            <w:tcW w:w="700" w:type="dxa"/>
            <w:tcMar>
              <w:top w:w="0" w:type="dxa"/>
              <w:bottom w:w="0" w:type="dxa"/>
            </w:tcMar>
            <w:vAlign w:val="center"/>
          </w:tcPr>
          <w:p w:rsidR="007B042B" w:rsidRDefault="00423A89">
            <w:pPr>
              <w:keepNext/>
              <w:keepLines/>
              <w:spacing w:after="0" w:line="240" w:lineRule="auto"/>
            </w:pPr>
            <w:r>
              <w:rPr>
                <w:sz w:val="18"/>
              </w:rPr>
              <w:t>239</w:t>
            </w:r>
          </w:p>
        </w:tc>
        <w:tc>
          <w:tcPr>
            <w:tcW w:w="1860" w:type="dxa"/>
            <w:tcMar>
              <w:top w:w="0" w:type="dxa"/>
              <w:bottom w:w="0" w:type="dxa"/>
            </w:tcMar>
            <w:vAlign w:val="center"/>
          </w:tcPr>
          <w:p w:rsidR="007B042B" w:rsidRDefault="00423A89">
            <w:pPr>
              <w:keepNext/>
              <w:keepLines/>
              <w:spacing w:after="0" w:line="240" w:lineRule="auto"/>
              <w:jc w:val="right"/>
            </w:pPr>
            <w:r>
              <w:rPr>
                <w:sz w:val="18"/>
              </w:rPr>
              <w:t>46.364,17</w:t>
            </w:r>
          </w:p>
        </w:tc>
        <w:tc>
          <w:tcPr>
            <w:tcW w:w="1860" w:type="dxa"/>
            <w:tcMar>
              <w:top w:w="0" w:type="dxa"/>
              <w:bottom w:w="0" w:type="dxa"/>
            </w:tcMar>
            <w:vAlign w:val="center"/>
          </w:tcPr>
          <w:p w:rsidR="007B042B" w:rsidRDefault="00423A89">
            <w:pPr>
              <w:keepNext/>
              <w:keepLines/>
              <w:spacing w:after="0" w:line="240" w:lineRule="auto"/>
              <w:jc w:val="right"/>
            </w:pPr>
            <w:r>
              <w:rPr>
                <w:sz w:val="18"/>
              </w:rPr>
              <w:t>4.524,48</w:t>
            </w:r>
          </w:p>
        </w:tc>
        <w:tc>
          <w:tcPr>
            <w:tcW w:w="700" w:type="dxa"/>
            <w:tcMar>
              <w:top w:w="0" w:type="dxa"/>
              <w:bottom w:w="0" w:type="dxa"/>
            </w:tcMar>
            <w:vAlign w:val="center"/>
          </w:tcPr>
          <w:p w:rsidR="007B042B" w:rsidRDefault="00423A89">
            <w:pPr>
              <w:keepNext/>
              <w:keepLines/>
              <w:spacing w:after="0" w:line="240" w:lineRule="auto"/>
              <w:jc w:val="right"/>
            </w:pPr>
            <w:r>
              <w:rPr>
                <w:sz w:val="18"/>
              </w:rPr>
              <w:t>9,8</w:t>
            </w:r>
          </w:p>
        </w:tc>
      </w:tr>
    </w:tbl>
    <w:p w:rsidR="007B042B" w:rsidRDefault="007B042B">
      <w:pPr>
        <w:spacing w:after="0"/>
      </w:pPr>
    </w:p>
    <w:p w:rsidR="007B042B" w:rsidRDefault="00423A89">
      <w:r>
        <w:t xml:space="preserve">Značajno odstupanje je posljedica promjene načina knjiženja obveze za prijenos prihoda od školarina i vlastitih prihoda Sveučilištu u Splitu. Naime prije bi se samo stornirao prihod, a od 1.1.25. stvara se obveza i trošak. Za prijenose se više u knjiženju </w:t>
      </w:r>
      <w:r>
        <w:t>ne koristi račun 2395</w:t>
      </w:r>
    </w:p>
    <w:p w:rsidR="007B042B" w:rsidRDefault="007B042B"/>
    <w:p w:rsidR="007B042B" w:rsidRDefault="00423A89">
      <w:pPr>
        <w:keepNext/>
        <w:spacing w:line="240" w:lineRule="auto"/>
        <w:jc w:val="center"/>
      </w:pPr>
      <w:r>
        <w:rPr>
          <w:b/>
          <w:sz w:val="28"/>
        </w:rPr>
        <w:t>Promjene u vrijednosti i obujmu imovine i obveza</w:t>
      </w:r>
    </w:p>
    <w:p w:rsidR="007B042B" w:rsidRDefault="00423A8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423A89">
            <w:pPr>
              <w:keepNext/>
              <w:keepLines/>
              <w:spacing w:after="0" w:line="240" w:lineRule="auto"/>
            </w:pPr>
            <w:r>
              <w:rPr>
                <w:sz w:val="18"/>
              </w:rPr>
              <w:t>9151</w:t>
            </w:r>
          </w:p>
        </w:tc>
        <w:tc>
          <w:tcPr>
            <w:tcW w:w="3180" w:type="dxa"/>
            <w:tcMar>
              <w:top w:w="0" w:type="dxa"/>
              <w:bottom w:w="0" w:type="dxa"/>
            </w:tcMar>
            <w:vAlign w:val="center"/>
          </w:tcPr>
          <w:p w:rsidR="007B042B" w:rsidRDefault="00423A89">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7B042B" w:rsidRDefault="00423A89">
            <w:pPr>
              <w:keepNext/>
              <w:keepLines/>
              <w:spacing w:after="0" w:line="240" w:lineRule="auto"/>
            </w:pPr>
            <w:r>
              <w:rPr>
                <w:sz w:val="18"/>
              </w:rPr>
              <w:t>9151</w:t>
            </w:r>
          </w:p>
        </w:tc>
        <w:tc>
          <w:tcPr>
            <w:tcW w:w="1860" w:type="dxa"/>
            <w:tcMar>
              <w:top w:w="0" w:type="dxa"/>
              <w:bottom w:w="0" w:type="dxa"/>
            </w:tcMar>
            <w:vAlign w:val="center"/>
          </w:tcPr>
          <w:p w:rsidR="007B042B" w:rsidRDefault="00423A89">
            <w:pPr>
              <w:keepNext/>
              <w:keepLines/>
              <w:spacing w:after="0" w:line="240" w:lineRule="auto"/>
              <w:jc w:val="right"/>
            </w:pPr>
            <w:r>
              <w:rPr>
                <w:sz w:val="18"/>
              </w:rPr>
              <w:t>0,00</w:t>
            </w:r>
          </w:p>
        </w:tc>
        <w:tc>
          <w:tcPr>
            <w:tcW w:w="1860" w:type="dxa"/>
            <w:tcMar>
              <w:top w:w="0" w:type="dxa"/>
              <w:bottom w:w="0" w:type="dxa"/>
            </w:tcMar>
            <w:vAlign w:val="center"/>
          </w:tcPr>
          <w:p w:rsidR="007B042B" w:rsidRDefault="00423A89">
            <w:pPr>
              <w:keepNext/>
              <w:keepLines/>
              <w:spacing w:after="0" w:line="240" w:lineRule="auto"/>
              <w:jc w:val="right"/>
            </w:pPr>
            <w:r>
              <w:rPr>
                <w:sz w:val="18"/>
              </w:rPr>
              <w:t>95.617,69</w:t>
            </w:r>
          </w:p>
        </w:tc>
        <w:tc>
          <w:tcPr>
            <w:tcW w:w="700" w:type="dxa"/>
            <w:tcMar>
              <w:top w:w="0" w:type="dxa"/>
              <w:bottom w:w="0" w:type="dxa"/>
            </w:tcMar>
            <w:vAlign w:val="center"/>
          </w:tcPr>
          <w:p w:rsidR="007B042B" w:rsidRDefault="00423A89">
            <w:pPr>
              <w:keepNext/>
              <w:keepLines/>
              <w:spacing w:after="0" w:line="240" w:lineRule="auto"/>
              <w:jc w:val="right"/>
            </w:pPr>
            <w:r>
              <w:rPr>
                <w:sz w:val="18"/>
              </w:rPr>
              <w:t>-</w:t>
            </w:r>
          </w:p>
        </w:tc>
      </w:tr>
    </w:tbl>
    <w:p w:rsidR="007B042B" w:rsidRDefault="007B042B">
      <w:pPr>
        <w:spacing w:after="0"/>
      </w:pPr>
    </w:p>
    <w:p w:rsidR="007B042B" w:rsidRDefault="00423A89">
      <w:r>
        <w:t>Člankom 192.stavkom 7.podstavkom 3. Pravilnika o proračunskom računovodstvu kao promjena vrijednosti koja se iskazuje na podskupini 915 propisan je i ispravak vrijednosti imovine pa se ikazana vrijednost odnosi na ispravak vrijednosti za 2025.godinu.</w:t>
      </w:r>
    </w:p>
    <w:p w:rsidR="007B042B" w:rsidRDefault="00423A89">
      <w:r>
        <w:lastRenderedPageBreak/>
        <w:t> </w:t>
      </w:r>
    </w:p>
    <w:p w:rsidR="007B042B" w:rsidRDefault="007B042B"/>
    <w:p w:rsidR="007B042B" w:rsidRDefault="00423A89">
      <w:pPr>
        <w:keepNext/>
        <w:spacing w:line="240" w:lineRule="auto"/>
        <w:jc w:val="center"/>
      </w:pPr>
      <w:r>
        <w:rPr>
          <w:b/>
          <w:sz w:val="28"/>
        </w:rPr>
        <w:t>Iz</w:t>
      </w:r>
      <w:r>
        <w:rPr>
          <w:b/>
          <w:sz w:val="28"/>
        </w:rPr>
        <w:t>vještaj o obvezama</w:t>
      </w:r>
    </w:p>
    <w:p w:rsidR="007B042B" w:rsidRDefault="00423A89">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042B">
        <w:tblPrEx>
          <w:tblCellMar>
            <w:top w:w="0" w:type="dxa"/>
            <w:bottom w:w="0" w:type="dxa"/>
          </w:tblCellMar>
        </w:tblPrEx>
        <w:trPr>
          <w:cantSplit/>
        </w:trPr>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B042B" w:rsidRDefault="00423A89">
            <w:pPr>
              <w:keepNext/>
              <w:keepLines/>
              <w:spacing w:after="0" w:line="240" w:lineRule="auto"/>
              <w:jc w:val="center"/>
            </w:pPr>
            <w:r>
              <w:rPr>
                <w:b/>
                <w:sz w:val="18"/>
              </w:rPr>
              <w:t>Indeks (%)</w:t>
            </w:r>
          </w:p>
        </w:tc>
      </w:tr>
      <w:tr w:rsidR="007B042B">
        <w:tblPrEx>
          <w:tblCellMar>
            <w:top w:w="0" w:type="dxa"/>
            <w:bottom w:w="0" w:type="dxa"/>
          </w:tblCellMar>
        </w:tblPrEx>
        <w:trPr>
          <w:cantSplit/>
          <w:trHeight w:val="560"/>
        </w:trPr>
        <w:tc>
          <w:tcPr>
            <w:tcW w:w="700" w:type="dxa"/>
            <w:tcMar>
              <w:top w:w="0" w:type="dxa"/>
              <w:bottom w:w="0" w:type="dxa"/>
            </w:tcMar>
            <w:vAlign w:val="center"/>
          </w:tcPr>
          <w:p w:rsidR="007B042B" w:rsidRDefault="007B042B">
            <w:pPr>
              <w:keepNext/>
              <w:keepLines/>
              <w:spacing w:after="0" w:line="240" w:lineRule="auto"/>
            </w:pPr>
          </w:p>
        </w:tc>
        <w:tc>
          <w:tcPr>
            <w:tcW w:w="3180" w:type="dxa"/>
            <w:tcMar>
              <w:top w:w="0" w:type="dxa"/>
              <w:bottom w:w="0" w:type="dxa"/>
            </w:tcMar>
            <w:vAlign w:val="center"/>
          </w:tcPr>
          <w:p w:rsidR="007B042B" w:rsidRDefault="00423A8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7B042B" w:rsidRDefault="00423A89">
            <w:pPr>
              <w:keepNext/>
              <w:keepLines/>
              <w:spacing w:after="0" w:line="240" w:lineRule="auto"/>
            </w:pPr>
            <w:r>
              <w:rPr>
                <w:sz w:val="18"/>
              </w:rPr>
              <w:t>V007</w:t>
            </w:r>
          </w:p>
        </w:tc>
        <w:tc>
          <w:tcPr>
            <w:tcW w:w="1860" w:type="dxa"/>
            <w:tcMar>
              <w:top w:w="0" w:type="dxa"/>
              <w:bottom w:w="0" w:type="dxa"/>
            </w:tcMar>
            <w:vAlign w:val="center"/>
          </w:tcPr>
          <w:p w:rsidR="007B042B" w:rsidRDefault="00423A89">
            <w:pPr>
              <w:keepNext/>
              <w:keepLines/>
              <w:spacing w:after="0" w:line="240" w:lineRule="auto"/>
              <w:jc w:val="right"/>
            </w:pPr>
            <w:r>
              <w:rPr>
                <w:sz w:val="18"/>
              </w:rPr>
              <w:t>49.970,09</w:t>
            </w:r>
          </w:p>
        </w:tc>
        <w:tc>
          <w:tcPr>
            <w:tcW w:w="700" w:type="dxa"/>
            <w:tcMar>
              <w:top w:w="0" w:type="dxa"/>
              <w:bottom w:w="0" w:type="dxa"/>
            </w:tcMar>
            <w:vAlign w:val="center"/>
          </w:tcPr>
          <w:p w:rsidR="007B042B" w:rsidRDefault="00423A89">
            <w:pPr>
              <w:keepNext/>
              <w:keepLines/>
              <w:spacing w:after="0" w:line="240" w:lineRule="auto"/>
              <w:jc w:val="right"/>
            </w:pPr>
            <w:r>
              <w:rPr>
                <w:sz w:val="18"/>
              </w:rPr>
              <w:t>-</w:t>
            </w:r>
          </w:p>
        </w:tc>
      </w:tr>
    </w:tbl>
    <w:p w:rsidR="007B042B" w:rsidRDefault="007B042B">
      <w:pPr>
        <w:spacing w:after="0"/>
      </w:pPr>
    </w:p>
    <w:p w:rsidR="007B042B" w:rsidRDefault="00423A89">
      <w:r>
        <w:t>Ukupno stanje dospjelih obveza odnosi se na obveze koje smo sukladno "Odluci o raspodjeli sredstava doznačenih za subvenciju participacija redovitih studenatau troškovima studija i sufinanciranja troškova poslovanja Sveučilišta u Splitu".  Temeljem te Odlu</w:t>
      </w:r>
      <w:r>
        <w:t>ke Sastavnice Sveučilišta su dužne u svrhu poslovanja Rektorata Sveučilišta i u cilju funkcionalne integracije Sveučilišta i osiguravanja jedinstvenog I usklađenog djelovanja Sveučilišta doznačiti i sredstva u iznosu od 15 % od uplaćenog iznosa za svakog u</w:t>
      </w:r>
      <w:r>
        <w:t>pisanog studenta koji nisu obuhvaćeni s Odlukom o financiranju javnih visokih učilišta u Republici Hrvatskoj u akademskoj godini. Te se manji dio dospjelih obveza odnosi i na obvezu uplate ostavrenih vlastitih prihoda. također je obveza prema Sveučilištu u</w:t>
      </w:r>
      <w:r>
        <w:t xml:space="preserve"> Splitu. Iznos koji se prenosi je 3% od ostvarenih valstitih prihoda.Obveze se odnose na akademsku godinu 2023/2024 i 2024/2025.</w:t>
      </w:r>
    </w:p>
    <w:p w:rsidR="007B042B" w:rsidRDefault="007B042B"/>
    <w:p w:rsidR="007B042B" w:rsidRDefault="00423A89">
      <w:pPr>
        <w:keepNext/>
        <w:spacing w:line="240" w:lineRule="auto"/>
        <w:jc w:val="center"/>
      </w:pPr>
      <w:r>
        <w:rPr>
          <w:sz w:val="28"/>
        </w:rPr>
        <w:t>Bilješka 25.</w:t>
      </w:r>
    </w:p>
    <w:p w:rsidR="007B042B" w:rsidRDefault="00423A89">
      <w:pPr>
        <w:spacing w:line="240" w:lineRule="auto"/>
        <w:jc w:val="both"/>
      </w:pPr>
      <w:r>
        <w:rPr>
          <w:b/>
        </w:rPr>
        <w:t>EU izvještaj</w:t>
      </w:r>
    </w:p>
    <w:p w:rsidR="007B042B" w:rsidRDefault="00423A89">
      <w:r>
        <w:t xml:space="preserve">Na navedenom izvoru 510 radi se o prihodima ostvarenim od prijenosa u okviru Erasmus +projekata. Najveći dio rashoda odnosi se na mobilnost osoblja te potpore za putovanja u sklopu mobilnosti. Također prenesena su ssredstva od Starane sveučilišta u Splitu </w:t>
      </w:r>
      <w:r>
        <w:t>za Erasmus + projekte GamesPlus, SEA-EU, 60+.</w:t>
      </w:r>
    </w:p>
    <w:p w:rsidR="007B042B" w:rsidRDefault="00423A89">
      <w:r>
        <w:t xml:space="preserve">Također, ostvareni su i prihodi na izvoru 581, računu 671. Radi se o provedbi institucionalnih istraživačkih projekata financiranih iz izvora 581 – Mehanizam za oporavak i otpornost, sukladno pravilima "Poziva </w:t>
      </w:r>
      <w:r>
        <w:t>za financiranje institucionalnih istraživačkih projekata Sveučilišta u Splitu" , Nacionalnog plana oporavka i otpornosti 2021.–2026.  te Programskog ugovora sklopljenog između Sveučilišta u Splitu i Ministarstva znanosti, obrazovanja i mladih .</w:t>
      </w:r>
    </w:p>
    <w:p w:rsidR="007B042B" w:rsidRDefault="007B042B"/>
    <w:sectPr w:rsidR="007B042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2B"/>
    <w:rsid w:val="00423A89"/>
    <w:rsid w:val="007B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C6A02-FB8B-40A3-A652-8EABD19B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Bacic</dc:creator>
  <cp:lastModifiedBy>Ana Bacic</cp:lastModifiedBy>
  <cp:revision>2</cp:revision>
  <dcterms:created xsi:type="dcterms:W3CDTF">2026-02-04T13:36:00Z</dcterms:created>
  <dcterms:modified xsi:type="dcterms:W3CDTF">2026-02-04T13:36:00Z</dcterms:modified>
</cp:coreProperties>
</file>