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3" w:rsidRDefault="00B7072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UPUTE ZA IZRADU ZAVRŠNOG RADA</w:t>
      </w:r>
    </w:p>
    <w:p w:rsidR="00827F73" w:rsidRDefault="00827F73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27F73" w:rsidRDefault="00B7072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OSNOVNI DIJELOVI ZAVRŠNOG RADA</w:t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2BB9" w:rsidRDefault="00FE2BB9" w:rsidP="00BD53F1">
      <w:pPr>
        <w:pStyle w:val="Odlomakpopisa1"/>
        <w:numPr>
          <w:ilvl w:val="0"/>
          <w:numId w:val="14"/>
        </w:numPr>
        <w:suppressAutoHyphens/>
        <w:autoSpaceDN w:val="0"/>
        <w:spacing w:after="0" w:line="360" w:lineRule="auto"/>
        <w:contextualSpacing w:val="0"/>
        <w:textAlignment w:val="baseline"/>
      </w:pPr>
      <w:r w:rsidRPr="00693E6C">
        <w:rPr>
          <w:rFonts w:ascii="Times New Roman" w:eastAsia="Times New Roman" w:hAnsi="Times New Roman"/>
          <w:b/>
          <w:sz w:val="24"/>
          <w:szCs w:val="24"/>
          <w:lang w:val="it-IT"/>
        </w:rPr>
        <w:t>KORICE RADA</w:t>
      </w:r>
      <w:r w:rsidRPr="00693E6C">
        <w:rPr>
          <w:rFonts w:ascii="Times New Roman" w:eastAsia="Times New Roman" w:hAnsi="Times New Roman"/>
          <w:sz w:val="24"/>
          <w:szCs w:val="24"/>
          <w:lang w:val="it-IT"/>
        </w:rPr>
        <w:t xml:space="preserve"> (TVRDI UVEZ) </w:t>
      </w:r>
      <w:proofErr w:type="spellStart"/>
      <w:r w:rsidRPr="00693E6C">
        <w:rPr>
          <w:rFonts w:ascii="Times New Roman" w:eastAsia="Times New Roman" w:hAnsi="Times New Roman"/>
          <w:sz w:val="24"/>
          <w:szCs w:val="24"/>
          <w:lang w:val="it-IT"/>
        </w:rPr>
        <w:t>staviti</w:t>
      </w:r>
      <w:proofErr w:type="spellEnd"/>
      <w:r w:rsidRPr="00693E6C"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:rsidR="00FE2BB9" w:rsidRPr="00693E6C" w:rsidRDefault="00FE2BB9" w:rsidP="00FE2BB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Sveu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>č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te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693E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Splitu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Kineziolo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ki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fakultet</w:t>
      </w:r>
      <w:r w:rsidRPr="00693E6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naslov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zavr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nog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rada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oznaka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zavr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ni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rad</w:t>
      </w:r>
      <w:proofErr w:type="spellEnd"/>
      <w:r w:rsidRPr="00693E6C"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te</w:t>
      </w:r>
      <w:proofErr w:type="spellEnd"/>
      <w:proofErr w:type="gramEnd"/>
      <w:r w:rsidRPr="00693E6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Split</w:t>
      </w:r>
      <w:r w:rsidRPr="00693E6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godina</w:t>
      </w:r>
      <w:proofErr w:type="spellEnd"/>
    </w:p>
    <w:p w:rsidR="00BD53F1" w:rsidRPr="00693E6C" w:rsidRDefault="00BD53F1" w:rsidP="00FE2BB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827F73" w:rsidRDefault="00BD53F1" w:rsidP="00BD53F1">
      <w:pPr>
        <w:pStyle w:val="Odlomakpopisa1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</w:t>
      </w:r>
      <w:r w:rsidR="00B707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NASLOVNA STRANICA</w:t>
      </w:r>
    </w:p>
    <w:p w:rsidR="00827F73" w:rsidRDefault="00827F73">
      <w:pPr>
        <w:pStyle w:val="Odlomakpopisa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827F73" w:rsidRDefault="00B70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SVEUČILIŠTE U SPLITU</w:t>
      </w:r>
    </w:p>
    <w:p w:rsidR="00827F73" w:rsidRDefault="00B7072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KINEZIOLOŠKI FAKULTET</w:t>
      </w:r>
    </w:p>
    <w:p w:rsidR="00827F73" w:rsidRDefault="00B70724">
      <w:pPr>
        <w:pStyle w:val="Odlomakpopisa1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Centrirano-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New Roman 16pt</w:t>
      </w:r>
    </w:p>
    <w:p w:rsidR="00827F73" w:rsidRDefault="00827F73">
      <w:pPr>
        <w:pStyle w:val="Odlomakpopisa1"/>
        <w:spacing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2BB9" w:rsidRDefault="00FE2BB9">
      <w:pPr>
        <w:pStyle w:val="Odlomakpopisa1"/>
        <w:spacing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pStyle w:val="Odlomakpopisa1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NASLOV ZAVRŠNOG RADA</w:t>
      </w:r>
    </w:p>
    <w:p w:rsidR="00FE2BB9" w:rsidRDefault="00FE2BB9">
      <w:pPr>
        <w:pStyle w:val="Odlomakpopisa1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</w:pPr>
    </w:p>
    <w:p w:rsidR="00827F73" w:rsidRDefault="00B70724">
      <w:pPr>
        <w:pStyle w:val="Odlomakpopisa1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Centrirano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New Roman 22pt BOLD</w:t>
      </w:r>
    </w:p>
    <w:p w:rsidR="00827F73" w:rsidRDefault="00827F73">
      <w:pPr>
        <w:pStyle w:val="Odlomakpopisa1"/>
        <w:spacing w:before="24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2BB9" w:rsidRDefault="00FE2BB9">
      <w:pPr>
        <w:pStyle w:val="Odlomakpopisa1"/>
        <w:spacing w:before="24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pStyle w:val="Odlomakpopisa1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(ZAVRŠNI RAD)</w:t>
      </w:r>
    </w:p>
    <w:p w:rsidR="00FE2BB9" w:rsidRDefault="00FE2BB9">
      <w:pPr>
        <w:pStyle w:val="Odlomakpopisa1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27F73" w:rsidRDefault="00B70724">
      <w:pPr>
        <w:pStyle w:val="Odlomakpopisa1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Centrirano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New Roman 14pt</w:t>
      </w:r>
    </w:p>
    <w:p w:rsidR="00827F73" w:rsidRDefault="00827F73">
      <w:pPr>
        <w:pStyle w:val="Odlomakpopisa1"/>
        <w:spacing w:before="240"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2BB9" w:rsidRDefault="00FE2BB9">
      <w:pPr>
        <w:pStyle w:val="Odlomakpopisa1"/>
        <w:spacing w:before="240"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27F73" w:rsidRDefault="00B70724">
      <w:pPr>
        <w:pStyle w:val="Odlomakpopisa1"/>
        <w:spacing w:before="240"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Student: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Mentor:</w:t>
      </w:r>
    </w:p>
    <w:p w:rsidR="00827F73" w:rsidRDefault="00B70724">
      <w:pPr>
        <w:pStyle w:val="Odlomakpopisa1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7F73" w:rsidRDefault="00827F73">
      <w:pPr>
        <w:pStyle w:val="Odlomakpopisa1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pStyle w:val="Odlomakpopisa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New Roman 14pt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Student, Mentor</w:t>
      </w:r>
    </w:p>
    <w:p w:rsidR="00827F73" w:rsidRDefault="00827F73">
      <w:pPr>
        <w:pStyle w:val="Odlomakpopisa1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27F73" w:rsidRDefault="00B70724">
      <w:pPr>
        <w:pStyle w:val="Odlomakpopisa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New Roman 14pt – imena studenta i mentora</w:t>
      </w:r>
    </w:p>
    <w:p w:rsidR="00827F73" w:rsidRDefault="00827F73">
      <w:pPr>
        <w:pStyle w:val="Odlomakpopisa1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pStyle w:val="Odlomakpopisa1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Split,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navesti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godinu</w:t>
      </w:r>
      <w:proofErr w:type="spellEnd"/>
    </w:p>
    <w:p w:rsidR="00FE2BB9" w:rsidRDefault="00FE2B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56E5" w:rsidRDefault="00B70724" w:rsidP="00B165A1">
      <w:pPr>
        <w:pStyle w:val="Odlomakpopisa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Centrirano-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New Roman 14 pt</w:t>
      </w:r>
    </w:p>
    <w:p w:rsidR="00B165A1" w:rsidRPr="00B165A1" w:rsidRDefault="00B165A1" w:rsidP="00B165A1">
      <w:pPr>
        <w:pStyle w:val="Odlomakpopisa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 w:rsidP="00B165A1">
      <w:pPr>
        <w:pStyle w:val="Odlomakpopisa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DRUGA STRANICA</w:t>
      </w:r>
    </w:p>
    <w:p w:rsidR="00827F73" w:rsidRDefault="00827F73">
      <w:pPr>
        <w:pStyle w:val="Odlomakpopisa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 xml:space="preserve">Nakon naslovne stranice navodi se sadržaj. Naslovna stranica i stranica na kojoj se nalazi sadržaj nisu numerirane. Ostale su stranice označene rednim brojem koji se nalazi u sredini na dnu stranice. </w:t>
      </w:r>
    </w:p>
    <w:p w:rsidR="00827F73" w:rsidRDefault="00B7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Poravnati brojeve stranica jedne ispod drugih na slijedeći način: </w:t>
      </w:r>
    </w:p>
    <w:p w:rsidR="00827F73" w:rsidRDefault="00B7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numerirati pod 1. UVOD; napraviti jedan razmak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-; kliknuti na Tabulatoru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14 </w:t>
      </w:r>
    </w:p>
    <w:p w:rsidR="00827F73" w:rsidRDefault="00B707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cm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152650" cy="352425"/>
            <wp:effectExtent l="19050" t="0" r="0" b="0"/>
            <wp:docPr id="4" name="Slika 3" descr="C:\Users\Korisnik\Desktop\57617e09-790f-4015-bfe6-5674e4b04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C:\Users\Korisnik\Desktop\57617e09-790f-4015-bfe6-5674e4b046a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jednim lijevim klikom i postaviti slijedeće</w:t>
      </w:r>
      <w:r>
        <w:rPr>
          <w:rFonts w:ascii="Arial" w:eastAsia="Times New Roman" w:hAnsi="Arial" w:cs="Arial"/>
          <w:sz w:val="28"/>
          <w:szCs w:val="28"/>
          <w:lang w:eastAsia="hr-HR"/>
        </w:rPr>
        <w:t>:</w:t>
      </w:r>
    </w:p>
    <w:p w:rsidR="00827F73" w:rsidRDefault="00B70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114550" cy="2619375"/>
            <wp:effectExtent l="19050" t="0" r="0" b="0"/>
            <wp:docPr id="5" name="Slika 4" descr="C:\Users\Korisnik\Desktop\38a9083e-150f-47cc-ae3e-0d12e5a33c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C:\Users\Korisnik\Desktop\38a9083e-150f-47cc-ae3e-0d12e5a33c4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svaki slijedeći navod u sadržaju nakon naslova i podnaslova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pritisniti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 </w:t>
      </w:r>
    </w:p>
    <w:p w:rsidR="00827F73" w:rsidRDefault="00B7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 će se automatski napraviti linija za postavljanje brojke stranice</w:t>
      </w:r>
      <w:r>
        <w:rPr>
          <w:rFonts w:ascii="Arial" w:eastAsia="Times New Roman" w:hAnsi="Arial" w:cs="Arial"/>
          <w:sz w:val="30"/>
          <w:szCs w:val="30"/>
          <w:lang w:eastAsia="hr-HR"/>
        </w:rPr>
        <w:t>.</w:t>
      </w:r>
    </w:p>
    <w:p w:rsidR="00827F73" w:rsidRDefault="00827F73">
      <w:pPr>
        <w:pStyle w:val="Odlomakpopisa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pStyle w:val="Odlomakpopisa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 w:rsidP="00B165A1">
      <w:pPr>
        <w:pStyle w:val="Odlomakpopisa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OSTALE CJELINE RADA</w:t>
      </w:r>
    </w:p>
    <w:p w:rsidR="00827F73" w:rsidRDefault="00827F73">
      <w:pPr>
        <w:pStyle w:val="Odlomakpopisa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 w:rsidP="004239B1">
      <w:pPr>
        <w:pStyle w:val="Odlomakpopisa1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Znastveno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-istraživačka tema:</w:t>
      </w:r>
    </w:p>
    <w:p w:rsidR="00827F73" w:rsidRDefault="00B70724" w:rsidP="004239B1">
      <w:pPr>
        <w:pStyle w:val="Odlomakpopisa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Uvod,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Cilj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Problemi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hipoteze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Metodologija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Rezultati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Rasprava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Zaklju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literature (Literatura) i drugih izvora podataka koji su korišteni u izradi završnog rada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navedenim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redoslijedom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7F73" w:rsidRDefault="00B70724" w:rsidP="004239B1">
      <w:pPr>
        <w:pStyle w:val="Odlomakpopisa1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Stručna tema:</w:t>
      </w:r>
    </w:p>
    <w:p w:rsidR="00827F73" w:rsidRDefault="009054FA" w:rsidP="004239B1">
      <w:pPr>
        <w:pStyle w:val="Odlomakpopisa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Uvod, Tema – Podn</w:t>
      </w:r>
      <w:r w:rsidR="00B70724">
        <w:rPr>
          <w:rFonts w:ascii="Times New Roman" w:eastAsia="Times New Roman" w:hAnsi="Times New Roman" w:cs="Times New Roman"/>
          <w:sz w:val="24"/>
          <w:szCs w:val="24"/>
          <w:lang w:eastAsia="hr-HR"/>
        </w:rPr>
        <w:t>aslov1, Podnaslov 2, …, Z</w:t>
      </w:r>
      <w:proofErr w:type="spellStart"/>
      <w:r w:rsidR="00B70724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aklju</w:t>
      </w:r>
      <w:proofErr w:type="spellEnd"/>
      <w:r w:rsidR="00B707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proofErr w:type="spellStart"/>
      <w:r w:rsidR="00B70724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ak</w:t>
      </w:r>
      <w:proofErr w:type="spellEnd"/>
      <w:r w:rsidR="00B707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B70724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te</w:t>
      </w:r>
      <w:proofErr w:type="spellEnd"/>
      <w:r w:rsidR="00B707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7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literature (Literatura) i drugih izvora podataka koji su korišteni u izradi završnog rada </w:t>
      </w:r>
      <w:r w:rsidR="00B707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r w:rsidR="00B7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07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</w:t>
      </w:r>
      <w:r w:rsidR="00B7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707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navedenim</w:t>
      </w:r>
      <w:proofErr w:type="spellEnd"/>
      <w:r w:rsidR="00B7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707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redoslijedom</w:t>
      </w:r>
      <w:proofErr w:type="spellEnd"/>
      <w:r w:rsidR="00B707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7F73" w:rsidRDefault="00827F73">
      <w:pPr>
        <w:pStyle w:val="Odlomakpopisa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pStyle w:val="Odlomakpopisa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6E5" w:rsidRDefault="00FE56E5">
      <w:pPr>
        <w:pStyle w:val="Odlomakpopisa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6E5" w:rsidRDefault="00FE56E5">
      <w:pPr>
        <w:pStyle w:val="Odlomakpopisa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IZGLED ZAVRŠNOG RADA</w:t>
      </w:r>
    </w:p>
    <w:p w:rsidR="00827F73" w:rsidRDefault="00B70724">
      <w:pPr>
        <w:pStyle w:val="Odlomakpopisa1"/>
        <w:numPr>
          <w:ilvl w:val="0"/>
          <w:numId w:val="4"/>
        </w:numPr>
        <w:spacing w:after="0"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Diplomski rad mora biti pisan u računalnom programu za obradu teksta (</w:t>
      </w:r>
      <w:proofErr w:type="spellStart"/>
      <w:r>
        <w:rPr>
          <w:rFonts w:ascii="TimesNewRomanPSMT" w:hAnsi="TimesNewRomanPSMT"/>
          <w:color w:val="000000"/>
        </w:rPr>
        <w:t>npr</w:t>
      </w:r>
      <w:proofErr w:type="spellEnd"/>
      <w:r>
        <w:rPr>
          <w:rFonts w:ascii="TimesNewRomanPSMT" w:hAnsi="TimesNewRomanPSMT"/>
          <w:color w:val="000000"/>
        </w:rPr>
        <w:t xml:space="preserve">. Microsoft Word, </w:t>
      </w:r>
      <w:proofErr w:type="spellStart"/>
      <w:r>
        <w:rPr>
          <w:rFonts w:ascii="TimesNewRomanPSMT" w:hAnsi="TimesNewRomanPSMT"/>
          <w:color w:val="000000"/>
        </w:rPr>
        <w:t>Open</w:t>
      </w:r>
      <w:proofErr w:type="spellEnd"/>
      <w:r>
        <w:rPr>
          <w:rFonts w:ascii="TimesNewRomanPSMT" w:hAnsi="TimesNewRomanPSMT"/>
          <w:color w:val="000000"/>
        </w:rPr>
        <w:t xml:space="preserve"> Office </w:t>
      </w:r>
      <w:proofErr w:type="spellStart"/>
      <w:r>
        <w:rPr>
          <w:rFonts w:ascii="TimesNewRomanPSMT" w:hAnsi="TimesNewRomanPSMT"/>
          <w:color w:val="000000"/>
        </w:rPr>
        <w:t>Writer</w:t>
      </w:r>
      <w:proofErr w:type="spellEnd"/>
      <w:r>
        <w:rPr>
          <w:rFonts w:ascii="TimesNewRomanPSMT" w:hAnsi="TimesNewRomanPSMT"/>
          <w:color w:val="000000"/>
        </w:rPr>
        <w:t xml:space="preserve"> i </w:t>
      </w:r>
      <w:proofErr w:type="spellStart"/>
      <w:r>
        <w:rPr>
          <w:rFonts w:ascii="TimesNewRomanPSMT" w:hAnsi="TimesNewRomanPSMT"/>
          <w:color w:val="000000"/>
        </w:rPr>
        <w:t>sl</w:t>
      </w:r>
      <w:proofErr w:type="spellEnd"/>
      <w:r>
        <w:rPr>
          <w:rFonts w:ascii="TimesNewRomanPSMT" w:hAnsi="TimesNewRomanPSMT"/>
          <w:color w:val="000000"/>
        </w:rPr>
        <w:t>.)</w:t>
      </w:r>
    </w:p>
    <w:p w:rsidR="00827F73" w:rsidRPr="005C5383" w:rsidRDefault="00B70724">
      <w:pPr>
        <w:pStyle w:val="Odlomakpopisa1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383">
        <w:rPr>
          <w:rFonts w:ascii="Times New Roman" w:hAnsi="Times New Roman" w:cs="Times New Roman"/>
          <w:color w:val="000000"/>
          <w:sz w:val="24"/>
          <w:szCs w:val="24"/>
        </w:rPr>
        <w:t xml:space="preserve">Rad treba biti poravnan od ruba do ruba     </w:t>
      </w:r>
      <w:r w:rsidRPr="005C538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114300" distR="114300">
            <wp:extent cx="209550" cy="2476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7F73" w:rsidRDefault="00B70724">
      <w:pPr>
        <w:pStyle w:val="Odlomakpopisa1"/>
        <w:numPr>
          <w:ilvl w:val="0"/>
          <w:numId w:val="4"/>
        </w:numPr>
        <w:spacing w:after="0" w:line="360" w:lineRule="auto"/>
        <w:rPr>
          <w:rFonts w:ascii="TimesNewRomanPSMT" w:hAnsi="TimesNewRomanPSMT"/>
          <w:color w:val="000000"/>
        </w:rPr>
      </w:pPr>
      <w:r w:rsidRPr="005C5383">
        <w:rPr>
          <w:rFonts w:ascii="Times New Roman" w:hAnsi="Times New Roman" w:cs="Times New Roman"/>
          <w:color w:val="000000"/>
          <w:sz w:val="24"/>
          <w:szCs w:val="24"/>
        </w:rPr>
        <w:t>Oblikovanje teksta - koristiti prored 1,5</w:t>
      </w:r>
      <w:r w:rsidRPr="005C53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NewRomanPSMT" w:hAnsi="TimesNewRomanPSMT"/>
          <w:noProof/>
          <w:color w:val="000000"/>
          <w:lang w:eastAsia="hr-HR"/>
        </w:rPr>
        <w:drawing>
          <wp:inline distT="0" distB="0" distL="0" distR="0">
            <wp:extent cx="1047750" cy="1390650"/>
            <wp:effectExtent l="19050" t="0" r="0" b="0"/>
            <wp:docPr id="2" name="Slika 1" descr="C:\Users\Korisnik\Desktop\ce33a491-eb5d-41b0-8609-c188de398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Korisnik\Desktop\ce33a491-eb5d-41b0-8609-c188de3985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73" w:rsidRDefault="00827F73">
      <w:pPr>
        <w:pStyle w:val="Odlomakpopisa1"/>
        <w:spacing w:after="0"/>
        <w:ind w:left="0"/>
        <w:rPr>
          <w:rFonts w:ascii="TimesNewRomanPSMT" w:hAnsi="TimesNewRomanPSMT"/>
          <w:color w:val="000000"/>
          <w:lang w:val="en-US" w:eastAsia="hr-HR"/>
        </w:rPr>
      </w:pPr>
    </w:p>
    <w:p w:rsidR="00827F73" w:rsidRDefault="00B70724">
      <w:pPr>
        <w:pStyle w:val="Odlomakpopisa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hr-HR"/>
        </w:rPr>
        <w:t xml:space="preserve">Font-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 w:eastAsia="hr-HR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hr-HR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 w:eastAsia="hr-HR"/>
        </w:rPr>
        <w:t xml:space="preserve"> Times New Roman 12 pt</w:t>
      </w:r>
    </w:p>
    <w:p w:rsidR="00827F73" w:rsidRDefault="00B70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 – naslovi: 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 14pt </w:t>
      </w:r>
      <w:r>
        <w:rPr>
          <w:rFonts w:ascii="Times New Roman" w:hAnsi="Times New Roman" w:cs="Times New Roman"/>
          <w:b/>
          <w:sz w:val="24"/>
          <w:szCs w:val="24"/>
        </w:rPr>
        <w:t>BOLD</w:t>
      </w:r>
    </w:p>
    <w:p w:rsidR="00827F73" w:rsidRDefault="00B70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 – podnaslovi: 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 14pt </w:t>
      </w:r>
    </w:p>
    <w:p w:rsidR="00827F73" w:rsidRDefault="00B70724">
      <w:pPr>
        <w:numPr>
          <w:ilvl w:val="1"/>
          <w:numId w:val="5"/>
        </w:num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Margine stranice postaviti na 2,5 cm, osim lijeve strane na 3,5 cm</w:t>
      </w:r>
    </w:p>
    <w:p w:rsidR="00827F73" w:rsidRDefault="00B70724">
      <w:pPr>
        <w:numPr>
          <w:ilvl w:val="1"/>
          <w:numId w:val="5"/>
        </w:num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Pogledati u danom primjeru koliki su proredi između naslova, podnaslova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. Napraviti identično kao u prikazanom primjeru</w:t>
      </w:r>
    </w:p>
    <w:p w:rsidR="00827F73" w:rsidRDefault="00B70724">
      <w:pPr>
        <w:numPr>
          <w:ilvl w:val="1"/>
          <w:numId w:val="5"/>
        </w:num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pojedini naslov rada mora ići na novu stranicu, podnaslovi mogu početi na pola stranice</w:t>
      </w:r>
    </w:p>
    <w:p w:rsidR="00827F73" w:rsidRDefault="00B70724">
      <w:pPr>
        <w:pStyle w:val="Odlomakpopisa1"/>
        <w:numPr>
          <w:ilvl w:val="0"/>
          <w:numId w:val="4"/>
        </w:numPr>
        <w:rPr>
          <w:rFonts w:ascii="TimesNewRomanPSMT" w:hAnsi="TimesNewRomanPSMT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Odlomke ne treba uvlačiti već ih odvojiti s jednom praznom linijom</w:t>
      </w:r>
    </w:p>
    <w:p w:rsidR="00827F73" w:rsidRDefault="00827F73">
      <w:pPr>
        <w:pStyle w:val="Odlomakpopisa1"/>
        <w:rPr>
          <w:rFonts w:ascii="Times New Roman" w:hAnsi="Times New Roman" w:cs="Times New Roman"/>
          <w:sz w:val="24"/>
          <w:szCs w:val="24"/>
        </w:rPr>
      </w:pPr>
    </w:p>
    <w:p w:rsidR="00827F73" w:rsidRDefault="00B70724">
      <w:pPr>
        <w:pStyle w:val="Odlomakpopisa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NewRomanPSMT" w:hAnsi="TimesNewRomanPSMT"/>
          <w:color w:val="000000"/>
        </w:rPr>
        <w:t xml:space="preserve">sticanje nekih informacija treba činiti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italic</w:t>
      </w:r>
      <w:proofErr w:type="spellEnd"/>
      <w:r>
        <w:rPr>
          <w:rFonts w:ascii="TimesNewRomanPS-ItalicMT" w:hAnsi="TimesNewRomanPS-ItalicMT"/>
          <w:i/>
          <w:iCs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stilom (kosa slova), a ne </w:t>
      </w:r>
      <w:proofErr w:type="spellStart"/>
      <w:r>
        <w:rPr>
          <w:rFonts w:ascii="TimesNewRomanPS-BoldMT" w:hAnsi="TimesNewRomanPS-BoldMT"/>
          <w:b/>
          <w:bCs/>
          <w:color w:val="000000"/>
        </w:rPr>
        <w:t>bold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ili podcrtano</w:t>
      </w:r>
    </w:p>
    <w:p w:rsidR="00827F73" w:rsidRDefault="00B70724">
      <w:pPr>
        <w:numPr>
          <w:ilvl w:val="1"/>
          <w:numId w:val="5"/>
        </w:num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S</w:t>
      </w:r>
      <w:r>
        <w:rPr>
          <w:rFonts w:ascii="Times New Roman" w:hAnsi="Times New Roman" w:cs="Times New Roman"/>
          <w:sz w:val="24"/>
          <w:szCs w:val="24"/>
        </w:rPr>
        <w:t xml:space="preserve">like se numeriraju od 1. pa na dalje u cijelom radu, te isto tako se posebno numeriraju Grafikoni i Tablice. Slike, tablice i slične sustave treba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obrojčati</w:t>
      </w:r>
      <w:proofErr w:type="spellEnd"/>
      <w:r>
        <w:rPr>
          <w:rFonts w:ascii="Times New Roman" w:hAnsi="Times New Roman" w:cs="Times New Roman"/>
          <w:sz w:val="24"/>
          <w:szCs w:val="24"/>
        </w:rPr>
        <w:t>. Kratak opis slike ili grafikona stavlja se ispod slike odnosno grafikona, a opis tablice stavlja se neposredno iznad tablice. U tekstu kad se pozivate na slike, grafikone i tablice, treba stajati (Slika 1.) ili u Tablici 2., ili na Grafikonu 3</w:t>
      </w:r>
    </w:p>
    <w:p w:rsidR="00FE56E5" w:rsidRDefault="00FE56E5" w:rsidP="00FE56E5">
      <w:pPr>
        <w:tabs>
          <w:tab w:val="left" w:pos="360"/>
          <w:tab w:val="left" w:pos="720"/>
          <w:tab w:val="left" w:pos="82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39B1" w:rsidRDefault="004239B1" w:rsidP="004239B1">
      <w:pPr>
        <w:pStyle w:val="Odlomakpopisa1"/>
        <w:ind w:left="0"/>
        <w:rPr>
          <w:rFonts w:ascii="Times New Roman" w:hAnsi="Times New Roman" w:cs="Times New Roman"/>
          <w:sz w:val="24"/>
          <w:szCs w:val="24"/>
        </w:rPr>
      </w:pPr>
    </w:p>
    <w:p w:rsidR="00827F73" w:rsidRDefault="00B70724" w:rsidP="004239B1">
      <w:pPr>
        <w:pStyle w:val="Odlomakpopisa1"/>
        <w:ind w:left="0"/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lastRenderedPageBreak/>
        <w:t>NAVOĐENJE LITERATURE</w:t>
      </w:r>
    </w:p>
    <w:p w:rsidR="00827F73" w:rsidRDefault="00827F73">
      <w:pPr>
        <w:pStyle w:val="Odlomakpopisa1"/>
        <w:jc w:val="center"/>
        <w:rPr>
          <w:rFonts w:ascii="TimesNewRomanPSMT" w:hAnsi="TimesNewRomanPSMT"/>
          <w:b/>
          <w:bCs/>
          <w:color w:val="000000"/>
        </w:rPr>
      </w:pPr>
    </w:p>
    <w:p w:rsidR="00827F73" w:rsidRDefault="00B70724" w:rsidP="00AB0843">
      <w:pPr>
        <w:pStyle w:val="Odlomakpopisa1"/>
        <w:ind w:left="0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>Literatura u tekstu</w:t>
      </w:r>
    </w:p>
    <w:p w:rsidR="004239B1" w:rsidRDefault="004239B1" w:rsidP="00AB0843">
      <w:pPr>
        <w:pStyle w:val="Odlomakpopisa1"/>
        <w:ind w:left="0"/>
        <w:rPr>
          <w:rFonts w:ascii="TimesNewRomanPSMT" w:hAnsi="TimesNewRomanPSMT"/>
          <w:b/>
          <w:bCs/>
          <w:color w:val="000000"/>
        </w:rPr>
      </w:pPr>
    </w:p>
    <w:p w:rsidR="00827F73" w:rsidRDefault="00827F73">
      <w:pPr>
        <w:pStyle w:val="Odlomakpopisa1"/>
        <w:rPr>
          <w:rFonts w:ascii="TimesNewRomanPSMT" w:hAnsi="TimesNewRomanPSMT"/>
          <w:color w:val="000000"/>
        </w:rPr>
      </w:pPr>
    </w:p>
    <w:p w:rsidR="00827F73" w:rsidRDefault="00B70724">
      <w:pPr>
        <w:pStyle w:val="Odlomakpopisa1"/>
        <w:numPr>
          <w:ilvl w:val="0"/>
          <w:numId w:val="6"/>
        </w:numPr>
        <w:spacing w:before="240" w:line="360" w:lineRule="auto"/>
      </w:pPr>
      <w:r>
        <w:rPr>
          <w:rFonts w:ascii="TimesNewRomanPSMT" w:hAnsi="TimesNewRomanPSMT"/>
          <w:color w:val="000000"/>
        </w:rPr>
        <w:t xml:space="preserve">U tekstu je moguće citirati autora na način da se i autor i godina stave u zagradu (Prezime, godina) ili tako da se prvo navede prezime autora, a godina stavi u zagrade  Prezime (godina). </w:t>
      </w:r>
    </w:p>
    <w:p w:rsidR="00827F73" w:rsidRDefault="00B70724">
      <w:pPr>
        <w:pStyle w:val="Odlomakpopisa1"/>
        <w:spacing w:before="240" w:line="360" w:lineRule="auto"/>
        <w:ind w:left="708"/>
        <w:rPr>
          <w:rFonts w:ascii="TimesNewRomanPSMT" w:hAnsi="TimesNewRomanPSMT"/>
          <w:color w:val="000000"/>
        </w:rPr>
      </w:pPr>
      <w:proofErr w:type="spellStart"/>
      <w:r>
        <w:rPr>
          <w:rFonts w:ascii="TimesNewRomanPSMT" w:hAnsi="TimesNewRomanPSMT"/>
          <w:color w:val="000000"/>
        </w:rPr>
        <w:t>Npr</w:t>
      </w:r>
      <w:proofErr w:type="spellEnd"/>
      <w:r>
        <w:rPr>
          <w:rFonts w:ascii="TimesNewRomanPSMT" w:hAnsi="TimesNewRomanPSMT"/>
          <w:color w:val="000000"/>
        </w:rPr>
        <w:t>. Posljedično ta mjerenja mogu pomoći u identifikaciji talenata (</w:t>
      </w:r>
      <w:proofErr w:type="spellStart"/>
      <w:r>
        <w:rPr>
          <w:rFonts w:ascii="TimesNewRomanPSMT" w:hAnsi="TimesNewRomanPSMT"/>
          <w:color w:val="000000"/>
        </w:rPr>
        <w:t>Carter</w:t>
      </w:r>
      <w:proofErr w:type="spellEnd"/>
      <w:r>
        <w:rPr>
          <w:rFonts w:ascii="TimesNewRomanPSMT" w:hAnsi="TimesNewRomanPSMT"/>
          <w:color w:val="000000"/>
        </w:rPr>
        <w:t xml:space="preserve">, 1985)  ili  Grgantov, Katić i Janković (2006) su imali za cilj utvrditi...    </w:t>
      </w:r>
    </w:p>
    <w:p w:rsidR="00827F73" w:rsidRDefault="00B70724">
      <w:pPr>
        <w:pStyle w:val="Odlomakpopisa1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Kada se navodi istraživanje do dva autora, uvijek se navode prezime/prezimena autora. Ukoliko se u tekstu spominje istraživanje većeg broja autora (od 3do 5) onda kod prvog navođenja treba napisati prezimena svih autora, a u sljedećim navođenjima samo prvog autora te dodatak i sur. Primjerice, prvi put: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Salovey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Schmitt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Miller, 2005), a svaki sljedeći put: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sur., 2005).  </w:t>
      </w:r>
    </w:p>
    <w:p w:rsidR="00827F73" w:rsidRDefault="00B70724">
      <w:pPr>
        <w:pStyle w:val="Odlomakpopisa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ima više od pet autora onda se i pri prvom, a i pri kasnijim navođenjima navodi samo prezime prvog autora i sur. (prezime prvog autora i sur., godina). </w:t>
      </w:r>
    </w:p>
    <w:p w:rsidR="00827F73" w:rsidRDefault="00B70724">
      <w:pPr>
        <w:pStyle w:val="Odlomakpopisa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doslovnom prepisivanju dijela teksta (citiranja), citat treba staviti u navodnike i napisati na kojoj stranici izvornika se nalazi. </w:t>
      </w:r>
      <w:proofErr w:type="spell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>.: "Proces komunikacije sadrži pet temeljnih elemenata. To su: komunikator, poruka, sredstvo komunikacije, primatelj poruke i povratna informacija (</w:t>
      </w:r>
      <w:proofErr w:type="spellStart"/>
      <w:r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)“ (Miljković, 2009, str.197). </w:t>
      </w:r>
    </w:p>
    <w:p w:rsidR="00827F73" w:rsidRDefault="00B70724">
      <w:pPr>
        <w:pStyle w:val="Odlomakpopisa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Osnovno je pravilo da svako spominjanje autora u tekstu mora biti navedeno u popisu literature na kraju rada. Vrijedi i obrnuto, sve što se nalazi u popisu literature mora biti spomenuto u samom radu.</w:t>
      </w:r>
    </w:p>
    <w:p w:rsidR="00827F73" w:rsidRDefault="00827F73">
      <w:pPr>
        <w:pStyle w:val="Odlomakpopisa1"/>
        <w:rPr>
          <w:rFonts w:ascii="Times New Roman" w:hAnsi="Times New Roman" w:cs="Times New Roman"/>
          <w:sz w:val="24"/>
          <w:szCs w:val="24"/>
        </w:rPr>
      </w:pPr>
    </w:p>
    <w:p w:rsidR="00827F73" w:rsidRDefault="00B707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Literatura na kraju teksta </w:t>
      </w:r>
    </w:p>
    <w:p w:rsidR="004239B1" w:rsidRDefault="004239B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27F73" w:rsidRDefault="00B7072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Redoslijed  referenci 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korištene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treba  pisati  abecednim  redom  prema  prezimenu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autora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.</w:t>
      </w:r>
    </w:p>
    <w:p w:rsidR="00827F73" w:rsidRDefault="00B70724">
      <w:pPr>
        <w:pStyle w:val="Tijeloteksta"/>
        <w:jc w:val="both"/>
        <w:rPr>
          <w:lang w:val="en-GB"/>
        </w:rPr>
      </w:pPr>
      <w:r>
        <w:rPr>
          <w:rFonts w:ascii="TimesNewRoman" w:hAnsi="TimesNewRoman"/>
          <w:color w:val="000000"/>
        </w:rPr>
        <w:t>1) Znanstveni članci u časopisu</w:t>
      </w:r>
    </w:p>
    <w:p w:rsidR="00827F73" w:rsidRDefault="00B70724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Pau</w:t>
      </w:r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ć, 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</w:rPr>
        <w:t>., 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GB"/>
        </w:rPr>
        <w:t>Kati</w:t>
      </w:r>
      <w:r>
        <w:rPr>
          <w:rFonts w:ascii="Times New Roman" w:hAnsi="Times New Roman" w:cs="Times New Roman"/>
          <w:sz w:val="24"/>
          <w:szCs w:val="24"/>
        </w:rPr>
        <w:t xml:space="preserve">ć,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</w:rPr>
        <w:t>. (2006).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Relations of the Morphological Characteristic Latent Structure and Body Posture Indicators in Children Aged Seven to Nine Years.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Collegium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Antropologicum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30 (3), 621-627. </w:t>
      </w:r>
    </w:p>
    <w:p w:rsidR="00827F73" w:rsidRDefault="00B70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Knjige</w:t>
      </w:r>
    </w:p>
    <w:p w:rsidR="00827F73" w:rsidRDefault="00B70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Pinel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J. (2001). Biološka psihologija. Jastrebarsko: Naklada Slap. </w:t>
      </w:r>
    </w:p>
    <w:p w:rsidR="00827F73" w:rsidRDefault="00B70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Doktorske disertacije, magistarski/diplomski radovi</w:t>
      </w:r>
    </w:p>
    <w:p w:rsidR="00827F73" w:rsidRDefault="00B70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Paušić, J. (2007).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Konstrukcija i vrednovanje mjernih postupaka za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procijenu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tjelesnog držanja u dječaka dobi od 10 do 13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godina.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Doktorska disertacija, Zagreb: Kineziološki fakultet. </w:t>
      </w:r>
    </w:p>
    <w:p w:rsidR="00827F73" w:rsidRDefault="00B70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Radovi u zbornicima</w:t>
      </w:r>
    </w:p>
    <w:p w:rsidR="00827F73" w:rsidRDefault="00B70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Pau</w:t>
      </w:r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ć, 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Kosinac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GB"/>
        </w:rPr>
        <w:t>Pa</w:t>
      </w:r>
      <w:r>
        <w:rPr>
          <w:rFonts w:ascii="Times New Roman" w:hAnsi="Times New Roman" w:cs="Times New Roman"/>
          <w:sz w:val="24"/>
          <w:szCs w:val="24"/>
        </w:rPr>
        <w:t>ž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(2005).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pouzdanosti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valjanosti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mjernog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Skoliozometra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valorizaciju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pokazatelja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tjelesnog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ž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ć, 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Male</w:t>
      </w:r>
      <w:r>
        <w:rPr>
          <w:rFonts w:ascii="Times New Roman" w:hAnsi="Times New Roman" w:cs="Times New Roman"/>
          <w:sz w:val="24"/>
          <w:szCs w:val="24"/>
        </w:rPr>
        <w:t xml:space="preserve">š, Đ.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Mileti</w:t>
      </w:r>
      <w:proofErr w:type="spellEnd"/>
      <w:r>
        <w:rPr>
          <w:rFonts w:ascii="Times New Roman" w:hAnsi="Times New Roman" w:cs="Times New Roman"/>
          <w:sz w:val="24"/>
          <w:szCs w:val="24"/>
        </w:rPr>
        <w:t>ć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Zbornik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radova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Me</w:t>
      </w:r>
      <w:r>
        <w:rPr>
          <w:rFonts w:ascii="Times New Roman" w:hAnsi="Times New Roman" w:cs="Times New Roman"/>
          <w:i/>
          <w:sz w:val="24"/>
          <w:szCs w:val="24"/>
        </w:rPr>
        <w:t>đ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unarodno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znanstveno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stru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nog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savjetovanja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„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Sport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rekreacija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fitness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Split</w:t>
      </w:r>
      <w:r>
        <w:rPr>
          <w:rFonts w:ascii="Times New Roman" w:hAnsi="Times New Roman" w:cs="Times New Roman"/>
          <w:sz w:val="24"/>
          <w:szCs w:val="24"/>
        </w:rPr>
        <w:t>, 2005.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101-105). </w:t>
      </w:r>
      <w:r>
        <w:rPr>
          <w:rFonts w:ascii="Times New Roman" w:hAnsi="Times New Roman" w:cs="Times New Roman"/>
          <w:sz w:val="24"/>
          <w:szCs w:val="24"/>
          <w:lang w:val="en-GB"/>
        </w:rPr>
        <w:t>Split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kineziologiju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prirodoslovno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</w:t>
      </w:r>
      <w:proofErr w:type="spellEnd"/>
      <w:r>
        <w:rPr>
          <w:rFonts w:ascii="Times New Roman" w:hAnsi="Times New Roman" w:cs="Times New Roman"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znanosti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odgojnih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7F73" w:rsidRDefault="00B70724">
      <w:pPr>
        <w:numPr>
          <w:ilvl w:val="0"/>
          <w:numId w:val="7"/>
        </w:num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Tekst na web stranicama</w:t>
      </w:r>
    </w:p>
    <w:p w:rsidR="00827F73" w:rsidRDefault="00B70724">
      <w:pPr>
        <w:jc w:val="both"/>
        <w:rPr>
          <w:rFonts w:ascii="TimesNewRoman" w:hAnsi="TimesNewRoman"/>
          <w:color w:val="000000"/>
        </w:rPr>
      </w:pPr>
      <w:proofErr w:type="spellStart"/>
      <w:r>
        <w:rPr>
          <w:rFonts w:ascii="TimesNewRoman" w:hAnsi="TimesNewRoman"/>
          <w:color w:val="000000"/>
        </w:rPr>
        <w:t>Šverko</w:t>
      </w:r>
      <w:proofErr w:type="spellEnd"/>
      <w:r>
        <w:rPr>
          <w:rFonts w:ascii="TimesNewRoman" w:hAnsi="TimesNewRoman"/>
          <w:color w:val="000000"/>
        </w:rPr>
        <w:t xml:space="preserve">, B., </w:t>
      </w:r>
      <w:proofErr w:type="spellStart"/>
      <w:r>
        <w:rPr>
          <w:rFonts w:ascii="TimesNewRoman" w:hAnsi="TimesNewRoman"/>
          <w:color w:val="000000"/>
        </w:rPr>
        <w:t>ur</w:t>
      </w:r>
      <w:proofErr w:type="spellEnd"/>
      <w:r>
        <w:rPr>
          <w:rFonts w:ascii="TimesNewRoman" w:hAnsi="TimesNewRoman"/>
          <w:color w:val="000000"/>
        </w:rPr>
        <w:t xml:space="preserve">. (2000). Vodič kroz zanimanja - elektroničko izdanje: prilozi vrednovanju profesionalnog usmjeravanja putem Interneta, preuzeto 20. 06. 2007. s </w:t>
      </w:r>
      <w:hyperlink r:id="rId13" w:anchor="psiho" w:history="1">
        <w:r>
          <w:rPr>
            <w:rStyle w:val="Hiperveza"/>
            <w:rFonts w:ascii="TimesNewRoman" w:hAnsi="TimesNewRoman"/>
          </w:rPr>
          <w:t>http://knjiznice.ffzg.hr/info.html#psiho</w:t>
        </w:r>
      </w:hyperlink>
    </w:p>
    <w:p w:rsidR="00827F73" w:rsidRDefault="00827F73">
      <w:pPr>
        <w:jc w:val="both"/>
        <w:rPr>
          <w:rFonts w:ascii="TimesNewRoman" w:hAnsi="TimesNewRoman"/>
          <w:color w:val="000000"/>
        </w:rPr>
      </w:pPr>
    </w:p>
    <w:p w:rsidR="00827F73" w:rsidRDefault="00827F73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16FAC" w:rsidRDefault="00816FAC">
      <w:pPr>
        <w:jc w:val="both"/>
        <w:rPr>
          <w:rFonts w:ascii="TimesNewRoman" w:hAnsi="TimesNewRoman"/>
          <w:color w:val="000000"/>
        </w:rPr>
      </w:pPr>
    </w:p>
    <w:p w:rsidR="00827F73" w:rsidRDefault="00827F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F73" w:rsidRDefault="00B70724">
      <w:pPr>
        <w:jc w:val="center"/>
        <w:rPr>
          <w:rFonts w:ascii="TimesNewRoman" w:hAnsi="TimesNewRoman"/>
          <w:color w:val="000000"/>
        </w:rPr>
      </w:pPr>
      <w:r>
        <w:rPr>
          <w:rFonts w:ascii="Times New Roman" w:hAnsi="Times New Roman" w:cs="Times New Roman"/>
          <w:b/>
          <w:sz w:val="32"/>
          <w:szCs w:val="32"/>
        </w:rPr>
        <w:t>SVEUČILIŠTE U SPLITU</w:t>
      </w:r>
    </w:p>
    <w:p w:rsidR="00827F73" w:rsidRDefault="00B707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KINEZIOLOŠKI FAKULTET</w:t>
      </w:r>
    </w:p>
    <w:p w:rsidR="00827F73" w:rsidRDefault="00827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E6C" w:rsidRDefault="00693E6C" w:rsidP="00693E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(Smjer) / (Zavod / Usmjerenje)</w:t>
      </w:r>
    </w:p>
    <w:p w:rsidR="00827F73" w:rsidRDefault="00827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F73" w:rsidRDefault="00827F73">
      <w:pPr>
        <w:rPr>
          <w:rFonts w:ascii="Times New Roman" w:hAnsi="Times New Roman" w:cs="Times New Roman"/>
          <w:sz w:val="28"/>
          <w:szCs w:val="28"/>
        </w:rPr>
      </w:pPr>
    </w:p>
    <w:p w:rsidR="00827F73" w:rsidRDefault="00827F73">
      <w:pPr>
        <w:rPr>
          <w:rFonts w:ascii="Times New Roman" w:hAnsi="Times New Roman" w:cs="Times New Roman"/>
          <w:sz w:val="28"/>
          <w:szCs w:val="28"/>
        </w:rPr>
      </w:pPr>
    </w:p>
    <w:p w:rsidR="00827F73" w:rsidRDefault="00827F73">
      <w:pPr>
        <w:rPr>
          <w:rFonts w:ascii="Times New Roman" w:hAnsi="Times New Roman" w:cs="Times New Roman"/>
          <w:sz w:val="28"/>
          <w:szCs w:val="28"/>
        </w:rPr>
      </w:pPr>
    </w:p>
    <w:p w:rsidR="00827F73" w:rsidRDefault="00827F73">
      <w:pPr>
        <w:rPr>
          <w:rFonts w:ascii="Times New Roman" w:hAnsi="Times New Roman" w:cs="Times New Roman"/>
          <w:sz w:val="28"/>
          <w:szCs w:val="28"/>
        </w:rPr>
      </w:pPr>
    </w:p>
    <w:p w:rsidR="00827F73" w:rsidRDefault="00B7072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NASLOV ZAVRŠNOG RADA</w:t>
      </w:r>
    </w:p>
    <w:p w:rsidR="00827F73" w:rsidRDefault="00B70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ZAVRŠNI RAD</w:t>
      </w:r>
    </w:p>
    <w:p w:rsidR="00827F73" w:rsidRDefault="00827F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F73" w:rsidRDefault="00827F73">
      <w:pPr>
        <w:rPr>
          <w:rFonts w:ascii="Times New Roman" w:hAnsi="Times New Roman" w:cs="Times New Roman"/>
          <w:sz w:val="24"/>
          <w:szCs w:val="24"/>
        </w:rPr>
      </w:pPr>
    </w:p>
    <w:p w:rsidR="00827F73" w:rsidRDefault="00827F73">
      <w:pPr>
        <w:rPr>
          <w:rFonts w:ascii="Times New Roman" w:hAnsi="Times New Roman" w:cs="Times New Roman"/>
          <w:sz w:val="24"/>
          <w:szCs w:val="24"/>
        </w:rPr>
      </w:pPr>
    </w:p>
    <w:p w:rsidR="00827F73" w:rsidRDefault="00827F73">
      <w:pPr>
        <w:rPr>
          <w:rFonts w:ascii="Times New Roman" w:hAnsi="Times New Roman" w:cs="Times New Roman"/>
          <w:sz w:val="24"/>
          <w:szCs w:val="24"/>
        </w:rPr>
      </w:pPr>
    </w:p>
    <w:p w:rsidR="00827F73" w:rsidRDefault="00827F73">
      <w:pPr>
        <w:rPr>
          <w:rFonts w:ascii="Times New Roman" w:hAnsi="Times New Roman" w:cs="Times New Roman"/>
          <w:sz w:val="24"/>
          <w:szCs w:val="24"/>
        </w:rPr>
      </w:pPr>
    </w:p>
    <w:p w:rsidR="00827F73" w:rsidRDefault="00827F73">
      <w:pPr>
        <w:rPr>
          <w:rFonts w:ascii="Times New Roman" w:hAnsi="Times New Roman" w:cs="Times New Roman"/>
          <w:sz w:val="24"/>
          <w:szCs w:val="24"/>
        </w:rPr>
      </w:pPr>
    </w:p>
    <w:p w:rsidR="00827F73" w:rsidRDefault="00827F73">
      <w:pPr>
        <w:rPr>
          <w:rFonts w:ascii="Times New Roman" w:hAnsi="Times New Roman" w:cs="Times New Roman"/>
          <w:sz w:val="24"/>
          <w:szCs w:val="24"/>
        </w:rPr>
      </w:pPr>
    </w:p>
    <w:p w:rsidR="00827F73" w:rsidRDefault="00B70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Mentor:</w:t>
      </w:r>
    </w:p>
    <w:p w:rsidR="00827F73" w:rsidRDefault="00B707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Xxx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Xxx</w:t>
      </w:r>
      <w:proofErr w:type="spellEnd"/>
    </w:p>
    <w:p w:rsidR="00827F73" w:rsidRDefault="00827F73">
      <w:pPr>
        <w:rPr>
          <w:rFonts w:ascii="Times New Roman" w:hAnsi="Times New Roman" w:cs="Times New Roman"/>
          <w:sz w:val="28"/>
          <w:szCs w:val="28"/>
        </w:rPr>
      </w:pPr>
    </w:p>
    <w:p w:rsidR="00827F73" w:rsidRDefault="00827F73">
      <w:pPr>
        <w:rPr>
          <w:rFonts w:ascii="Times New Roman" w:hAnsi="Times New Roman" w:cs="Times New Roman"/>
          <w:sz w:val="28"/>
          <w:szCs w:val="28"/>
        </w:rPr>
      </w:pPr>
    </w:p>
    <w:p w:rsidR="00827F73" w:rsidRDefault="00B70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Split, 2017.</w:t>
      </w:r>
    </w:p>
    <w:p w:rsidR="00EE51F6" w:rsidRDefault="00EE5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F73" w:rsidRDefault="00B707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SADRŽAJ</w:t>
      </w: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0"/>
          <w:numId w:val="8"/>
        </w:numPr>
        <w:tabs>
          <w:tab w:val="left" w:pos="720"/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UVOD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4</w:t>
      </w:r>
    </w:p>
    <w:p w:rsidR="00827F73" w:rsidRDefault="00B70724">
      <w:pPr>
        <w:numPr>
          <w:ilvl w:val="1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Podnaslov 1.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4</w:t>
      </w:r>
    </w:p>
    <w:p w:rsidR="00827F73" w:rsidRDefault="00B70724">
      <w:pPr>
        <w:tabs>
          <w:tab w:val="left" w:pos="792"/>
          <w:tab w:val="left" w:leader="underscore" w:pos="792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1.1. Podnaslov 2.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5</w:t>
      </w:r>
    </w:p>
    <w:p w:rsidR="00827F73" w:rsidRDefault="00B70724">
      <w:pPr>
        <w:numPr>
          <w:ilvl w:val="0"/>
          <w:numId w:val="8"/>
        </w:numPr>
        <w:tabs>
          <w:tab w:val="left" w:pos="720"/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DOSADAŠNJA ISTRAŽIVANJA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6</w:t>
      </w:r>
    </w:p>
    <w:p w:rsidR="00827F73" w:rsidRDefault="00B70724">
      <w:pPr>
        <w:numPr>
          <w:ilvl w:val="0"/>
          <w:numId w:val="8"/>
        </w:numPr>
        <w:tabs>
          <w:tab w:val="left" w:pos="720"/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CILJ RADA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7</w:t>
      </w:r>
    </w:p>
    <w:p w:rsidR="00827F73" w:rsidRDefault="00B70724">
      <w:pPr>
        <w:numPr>
          <w:ilvl w:val="0"/>
          <w:numId w:val="8"/>
        </w:numPr>
        <w:tabs>
          <w:tab w:val="left" w:pos="720"/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HIPOTEZE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8</w:t>
      </w:r>
    </w:p>
    <w:p w:rsidR="00827F73" w:rsidRDefault="00B70724">
      <w:pPr>
        <w:numPr>
          <w:ilvl w:val="0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METODE RADA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9</w:t>
      </w:r>
    </w:p>
    <w:p w:rsidR="00827F73" w:rsidRDefault="00B70724">
      <w:pPr>
        <w:numPr>
          <w:ilvl w:val="1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Uzorak ispitanika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9</w:t>
      </w:r>
    </w:p>
    <w:p w:rsidR="00827F73" w:rsidRDefault="00B70724">
      <w:pPr>
        <w:numPr>
          <w:ilvl w:val="1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Uzorak varijabli (mjernih instrumenata)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9</w:t>
      </w:r>
    </w:p>
    <w:p w:rsidR="00827F73" w:rsidRDefault="00B70724">
      <w:pPr>
        <w:numPr>
          <w:ilvl w:val="1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Opis eksperimentalnog postupka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9</w:t>
      </w:r>
    </w:p>
    <w:p w:rsidR="00827F73" w:rsidRDefault="00B70724">
      <w:pPr>
        <w:numPr>
          <w:ilvl w:val="1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Metode obrade podataka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9</w:t>
      </w:r>
    </w:p>
    <w:p w:rsidR="00827F73" w:rsidRDefault="00B70724">
      <w:pPr>
        <w:numPr>
          <w:ilvl w:val="0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REZULTATI I RASPRAVA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10</w:t>
      </w:r>
    </w:p>
    <w:p w:rsidR="00827F73" w:rsidRDefault="00B70724">
      <w:pPr>
        <w:numPr>
          <w:ilvl w:val="0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ZAKLJUČAK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11</w:t>
      </w:r>
    </w:p>
    <w:p w:rsidR="00827F73" w:rsidRDefault="00B70724">
      <w:pPr>
        <w:numPr>
          <w:ilvl w:val="0"/>
          <w:numId w:val="8"/>
        </w:numPr>
        <w:tabs>
          <w:tab w:val="left" w:leader="underscore" w:pos="7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LITERATURA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12</w:t>
      </w:r>
      <w:bookmarkStart w:id="0" w:name="_GoBack"/>
      <w:bookmarkEnd w:id="0"/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SAŽETAK</w:t>
      </w:r>
    </w:p>
    <w:p w:rsidR="003F75A8" w:rsidRPr="003D1142" w:rsidRDefault="003F75A8" w:rsidP="003F75A8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D1142">
        <w:rPr>
          <w:rFonts w:ascii="Times New Roman" w:eastAsia="Times New Roman" w:hAnsi="Times New Roman"/>
          <w:b/>
          <w:sz w:val="24"/>
          <w:szCs w:val="24"/>
          <w:lang w:eastAsia="hr-HR"/>
        </w:rPr>
        <w:t>Sažetak mora sadržavati do maksimalno 300 riječi.</w:t>
      </w: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3F75A8" w:rsidRDefault="003F75A8" w:rsidP="003F75A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ABSTRACT</w:t>
      </w:r>
    </w:p>
    <w:p w:rsidR="003F75A8" w:rsidRPr="003D1142" w:rsidRDefault="003F75A8" w:rsidP="003F75A8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D1142">
        <w:rPr>
          <w:rFonts w:ascii="Times New Roman" w:eastAsia="Times New Roman" w:hAnsi="Times New Roman"/>
          <w:b/>
          <w:sz w:val="24"/>
          <w:szCs w:val="24"/>
          <w:lang w:eastAsia="hr-HR"/>
        </w:rPr>
        <w:t>Naslov rada preveden na engleski jezik</w:t>
      </w:r>
    </w:p>
    <w:p w:rsidR="00827F73" w:rsidRDefault="003F75A8" w:rsidP="003F75A8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sectPr w:rsidR="00827F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Sažetak na engleskom jeziku koji mora sadržavati do maksimalno 300 riječi</w:t>
      </w:r>
    </w:p>
    <w:p w:rsidR="00827F73" w:rsidRDefault="00B7072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UVOD</w:t>
      </w: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Prijelomi kostiju šake su prema statistikama najčešći uzročnici invaliditeta među koštano – zglobnim povredama. Budući da su ovi prijelomi česti i da zahvaćaju male kosti, oni su nerijetko neopravdano zanemarivani i to što se zapostave ili njihovo liječenje prepušta nedovoljno obučenim ljudima. Rezultati ovakvog pristupa liječenju su često kontrakture koja na šaci ugrožavaju upravo njenu osnovnu funkciju – pokret. </w:t>
      </w:r>
    </w:p>
    <w:p w:rsidR="00827F73" w:rsidRDefault="00827F73">
      <w:pPr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F73" w:rsidRDefault="00B7072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Prema nekim statistikama više od polovine od ukupnih trajnih radnih nesposobnosti zbog povređivanja otpada na povredu šake. Zbog toga ovim povredama treba posvetiti punu pažnju i biti dobro upoznat sa specifičnostima njihovog liječenja. Da bi se provela točna dijagnostika odgovarajuće liječenje i rehabilitacija neophodno je odlično poznavanje anatomije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biomehanike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šake. Znanja i vještine neophodne za dijagnostiku, liječenje i rehabilitaciju značajno su unaprijeđena u zadnje vrijeme. Ipak, brojni problemi nisu još u cijelosti riješeni te su neophodna daljnja istraživanja i studije u tom području.</w:t>
      </w: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pStyle w:val="Odlomakpopisa2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 Podnaslov 1.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440555" cy="37033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27F73" w:rsidRDefault="00B7072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Slika 1. Naziv slike (izvor: </w:t>
      </w:r>
      <w:hyperlink r:id="rId15" w:history="1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hr-HR"/>
          </w:rPr>
          <w:t>www.yyy.com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ili Prezime Autora, 2007.)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pStyle w:val="Odlomakpopisa2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Podnaslov 2.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DOSADAŠNJA ISTRAŽIVANJA</w:t>
      </w: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Forjuoh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suradnici (2004) analizirali su težine školskih torba u tri osnovne škole u Teksasu. Učenici koji su nosili torbe 10% i više od njihove tjelesne težine, uspoređivani su s učenicima koji su nosili torbe manje težine. Utvrđene su značajne razlike prema dobi, razredu, rasi i vrsti torbe (sa ili bez kotača). Također su ustanovili da su torbe onih učenika koji koriste torbe s kotačima teže. Nisu istraživali razloge zašto su neke torbe težile više od 10% tjelesne težine učenika, stoga predlažu da se u budućim istraživanjima posveti pozornost i na tu činjenicu. 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Whittfield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suradnici (2005) istraživali su težinu školske torbe i bolne simptome u mišićno koštanom sustavu kod učenika u dobi od 13 do 17 godina. Težina školske torbe iznosila je u prosjeku 13,2% tjelesne težine trinaestogodišnjih učenika što premašuje preporučenu vrijednost od 10%. Takva težina školske torbe prelazi preporučenu vrijednost opterećenja za odrasle industrijske radnike. Rezultati bolnosti u pojedinim dijelovima tijela dobiveni su upitnikom uz koji je ponuđena i slika ljudskog tijela gdje su obilježili 9 tjelesnih regija (vrat, ramena, gornji i donji dio ruku, gornji i donji dio leđa, kukovi, koljena i donji dio nogu). Bolnost u nekim od navedenih područja prijavilo je 77,1% učenika. Sumnjaju da je školska torba jedan od glavnih faktora koji uzrokuju bolne simptome kod djece navedene dobi. 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Skoffer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(2007) usmjerio je istraživanje na povezanost lumbalnog bolnog sindroma (LBS) i školskih opterećenja (školski namještaj, način nošenja školske torbe i slično). Oko 500 učenika u dobi od 14 do 17 odgovorilo je na upitnik preko kojeg je dobio informacije o načinu sjedenja tijekom školskog sata, o prisutnosti i težini lumbalnog bolnog sindroma. Također je izmjerena težina školske torbe, te su dobivene i informacije o načinu nošenja iste. Dobiveni rezultati ukazuju da je više od polovice učenika osjetilo bol u području leđa u posljednja tri mjeseca, dok je 24,2% učenika zatražilo stručnu pomoć zbog bolnosti u području leđa. Nije utvrđena nikakva povezanost LBS sa školskim namještajem, ali je utvrđena pozitivna povezanost školske torbe s LBS ako se torba nosi na jednom ramenu. </w:t>
      </w: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CILJ RADA</w:t>
      </w: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Danas za sportske ozljede šake je karakteristično minimalizirane njihove ozbiljnosti i važnosti. To je zbog toga jer ozljede obično ne onesposobljavaju sportaša u cijelosti. Takav stav često dovodi do značajnog produljenja vremena nesposobnosti sportaša, a nerijetko dovodi do onemogućavanja daljnjeg bavljenja vrhunskim sportom. </w:t>
      </w: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Stoga glavni cilj ovoga rada je ukazati na visoki stupanj važnosti kineziterapijskog programa u tretmanu ozljeda šake</w:t>
      </w: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HIPOTEZE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postavljenom cilju postavljene su slijedeće hipoteze:</w:t>
      </w:r>
    </w:p>
    <w:p w:rsidR="00827F73" w:rsidRDefault="00827F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Koeficijenti pouzdanosti pokazuju visoku pouzdanost u svakom pokazatelju tjelesnog držanja.</w:t>
      </w:r>
    </w:p>
    <w:p w:rsidR="00827F73" w:rsidRDefault="00B7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Mjere homogenosti ukazuju da čestice svakog pojedinog pokazatelja tjelesnog držanja mjere isti predmet mjerenja.</w:t>
      </w:r>
    </w:p>
    <w:p w:rsidR="00827F73" w:rsidRDefault="00B7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Osjetljivost u svakom pojedinom pokazatelju tjelesnog držanja ukazuje na uspješno razlikovanje ispitanika.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METODE RADA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Uzorak ispitanika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Uzorak varijabli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Metode obrade podataka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REZULTATI I RASPRAVA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Tablica 1. Naslov tablice</w:t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6752" w:type="dxa"/>
        <w:jc w:val="center"/>
        <w:tblLayout w:type="fixed"/>
        <w:tblLook w:val="04A0"/>
      </w:tblPr>
      <w:tblGrid>
        <w:gridCol w:w="2250"/>
        <w:gridCol w:w="2251"/>
        <w:gridCol w:w="2251"/>
      </w:tblGrid>
      <w:tr w:rsidR="00827F73">
        <w:trPr>
          <w:jc w:val="center"/>
        </w:trPr>
        <w:tc>
          <w:tcPr>
            <w:tcW w:w="2250" w:type="dxa"/>
          </w:tcPr>
          <w:p w:rsidR="00827F73" w:rsidRDefault="00827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</w:tcPr>
          <w:p w:rsidR="00827F73" w:rsidRDefault="00827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</w:tcPr>
          <w:p w:rsidR="00827F73" w:rsidRDefault="00827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7F73">
        <w:trPr>
          <w:jc w:val="center"/>
        </w:trPr>
        <w:tc>
          <w:tcPr>
            <w:tcW w:w="2250" w:type="dxa"/>
          </w:tcPr>
          <w:p w:rsidR="00827F73" w:rsidRDefault="00827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</w:tcPr>
          <w:p w:rsidR="00827F73" w:rsidRDefault="00827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</w:tcPr>
          <w:p w:rsidR="00827F73" w:rsidRDefault="00827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 w:rsidP="0042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743200" cy="1828800"/>
            <wp:effectExtent l="0" t="0" r="0" b="0"/>
            <wp:docPr id="9" name="Grafiko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Grafikon 1. Naziv grafikona</w:t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4239B1" w:rsidRDefault="00423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ZAKLJUČAK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LITERATURA</w:t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B7072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highlight w:val="yellow"/>
          <w:lang w:eastAsia="hr-HR"/>
        </w:rPr>
        <w:t>CITIRANJE I NAVOĐENJE IZVORA PO APA STANDARDU</w:t>
      </w:r>
    </w:p>
    <w:p w:rsidR="00827F73" w:rsidRDefault="00827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hr-HR"/>
        </w:rPr>
      </w:pPr>
    </w:p>
    <w:p w:rsidR="00827F73" w:rsidRDefault="00827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827F73" w:rsidRDefault="00B707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reference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formats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recommended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by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(19.11.1999). Washington, DC: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Psychological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Postavljeno 3.5.2000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http://www.apa.org/webref.html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7F73" w:rsidRDefault="00B707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K. (1992a).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tip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tongue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phenomenon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Blocking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activation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? [on-line].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Memory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715-726. Sažetak iz: DIALOG Datoteka: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PsycINFO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80-16351 </w:t>
      </w:r>
    </w:p>
    <w:p w:rsidR="00827F73" w:rsidRDefault="00827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27F73" w:rsidRDefault="00B707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K. (1992b).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tip-of-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tongue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phenomenon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Blocking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activation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? [CD-ROM].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Memory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Cognition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715-716. Sažetak iz: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SilverPlater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Datoteka: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PsycLIT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80-16351 </w:t>
      </w:r>
    </w:p>
    <w:p w:rsidR="00827F73" w:rsidRDefault="0082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F73" w:rsidRDefault="00B707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Kosinac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(2005).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Procjena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pouzdanosti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instrumenta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Skoliozometra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valorizaciju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pokazatelja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tjelesnog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Sekuli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š, Đ.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Mileti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Zbornik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radova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đ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unarodno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znanstveno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stru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nog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savjetovanja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Sport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rekreacija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fitness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Split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2005.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101-105).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Split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kineziologiju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Fakulteta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prirodoslovno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matemati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znanosti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7F73" w:rsidRDefault="0082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27F73" w:rsidRDefault="00B70724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 Č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avala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(2006).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Relations of the Morphological Characteristic Latent Structure and Body Posture Indicators in Children Aged Seven to Nine Years.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Collegium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Antropologicum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30 (3), 621-627. </w:t>
      </w:r>
    </w:p>
    <w:p w:rsidR="00827F73" w:rsidRDefault="00B707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Paušić, J. (2007).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Konstrukcija i vrednovanje mjernih postupaka za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procijenu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tjelesnog držanja u dječaka dobi od 10 do 13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godina.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Doktorska disertacija, Zagreb: Kineziološki fakultet. </w:t>
      </w:r>
    </w:p>
    <w:p w:rsidR="00827F73" w:rsidRDefault="00827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27F73" w:rsidRDefault="00B707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Thomas,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J.R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., &amp; Nelson,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J.K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(1996).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Methods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Physical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Activity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(Third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[Istraživačke metode u fizičkoj aktivnosti].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Champaign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Human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Kinetics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27F73" w:rsidRDefault="0082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sectPr w:rsidR="00827F73" w:rsidSect="00827F73">
      <w:footerReference w:type="default" r:id="rId17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DD" w:rsidRDefault="00300BDD" w:rsidP="00827F73">
      <w:pPr>
        <w:spacing w:after="0" w:line="240" w:lineRule="auto"/>
      </w:pPr>
      <w:r>
        <w:separator/>
      </w:r>
    </w:p>
  </w:endnote>
  <w:endnote w:type="continuationSeparator" w:id="0">
    <w:p w:rsidR="00300BDD" w:rsidRDefault="00300BDD" w:rsidP="0082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57023"/>
    </w:sdtPr>
    <w:sdtContent>
      <w:p w:rsidR="00827F73" w:rsidRDefault="00EA6058">
        <w:pPr>
          <w:pStyle w:val="Podnoje"/>
          <w:jc w:val="center"/>
        </w:pPr>
        <w:r>
          <w:fldChar w:fldCharType="begin"/>
        </w:r>
        <w:r w:rsidR="00B70724">
          <w:instrText>PAGE   \* MERGEFORMAT</w:instrText>
        </w:r>
        <w:r>
          <w:fldChar w:fldCharType="separate"/>
        </w:r>
        <w:r w:rsidR="00693E6C">
          <w:rPr>
            <w:noProof/>
          </w:rPr>
          <w:t>12</w:t>
        </w:r>
        <w:r>
          <w:fldChar w:fldCharType="end"/>
        </w:r>
      </w:p>
    </w:sdtContent>
  </w:sdt>
  <w:p w:rsidR="00827F73" w:rsidRDefault="00827F7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DD" w:rsidRDefault="00300BDD" w:rsidP="00827F73">
      <w:pPr>
        <w:spacing w:after="0" w:line="240" w:lineRule="auto"/>
      </w:pPr>
      <w:r>
        <w:separator/>
      </w:r>
    </w:p>
  </w:footnote>
  <w:footnote w:type="continuationSeparator" w:id="0">
    <w:p w:rsidR="00300BDD" w:rsidRDefault="00300BDD" w:rsidP="0082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4D8"/>
    <w:multiLevelType w:val="hybridMultilevel"/>
    <w:tmpl w:val="2340D3E0"/>
    <w:lvl w:ilvl="0" w:tplc="16F03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4BDC"/>
    <w:multiLevelType w:val="hybridMultilevel"/>
    <w:tmpl w:val="273CA52C"/>
    <w:lvl w:ilvl="0" w:tplc="ADF2C4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D599E"/>
    <w:multiLevelType w:val="multilevel"/>
    <w:tmpl w:val="159D59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BB93A6D"/>
    <w:multiLevelType w:val="multilevel"/>
    <w:tmpl w:val="1BB93A6D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4D28"/>
    <w:multiLevelType w:val="multilevel"/>
    <w:tmpl w:val="1F484D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5">
    <w:nsid w:val="309C12BD"/>
    <w:multiLevelType w:val="multilevel"/>
    <w:tmpl w:val="309C12BD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20A47"/>
    <w:multiLevelType w:val="multilevel"/>
    <w:tmpl w:val="45120A4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4F91"/>
    <w:multiLevelType w:val="multilevel"/>
    <w:tmpl w:val="50D54F91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5090535"/>
    <w:multiLevelType w:val="multilevel"/>
    <w:tmpl w:val="55090535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B6EEC4"/>
    <w:multiLevelType w:val="singleLevel"/>
    <w:tmpl w:val="59B6EE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0">
    <w:nsid w:val="59B6FCE3"/>
    <w:multiLevelType w:val="singleLevel"/>
    <w:tmpl w:val="59B6FCE3"/>
    <w:lvl w:ilvl="0">
      <w:start w:val="5"/>
      <w:numFmt w:val="decimal"/>
      <w:suff w:val="space"/>
      <w:lvlText w:val="%1)"/>
      <w:lvlJc w:val="left"/>
    </w:lvl>
  </w:abstractNum>
  <w:abstractNum w:abstractNumId="11">
    <w:nsid w:val="59B6FF35"/>
    <w:multiLevelType w:val="singleLevel"/>
    <w:tmpl w:val="59B6FF3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2">
    <w:nsid w:val="5B7018DE"/>
    <w:multiLevelType w:val="multilevel"/>
    <w:tmpl w:val="5B7018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D6504"/>
    <w:multiLevelType w:val="hybridMultilevel"/>
    <w:tmpl w:val="27148BE4"/>
    <w:lvl w:ilvl="0" w:tplc="E32CA4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DE2581"/>
    <w:multiLevelType w:val="multilevel"/>
    <w:tmpl w:val="78DE25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2EA7"/>
    <w:rsid w:val="00001D85"/>
    <w:rsid w:val="0000204B"/>
    <w:rsid w:val="0004623B"/>
    <w:rsid w:val="001617AD"/>
    <w:rsid w:val="00164CF5"/>
    <w:rsid w:val="001A40B5"/>
    <w:rsid w:val="001C4A44"/>
    <w:rsid w:val="001E0917"/>
    <w:rsid w:val="002158BD"/>
    <w:rsid w:val="00257FBE"/>
    <w:rsid w:val="00277317"/>
    <w:rsid w:val="002B208A"/>
    <w:rsid w:val="002B249A"/>
    <w:rsid w:val="002D4F03"/>
    <w:rsid w:val="00300BDD"/>
    <w:rsid w:val="0030118A"/>
    <w:rsid w:val="003658A0"/>
    <w:rsid w:val="0039666B"/>
    <w:rsid w:val="003A7A4F"/>
    <w:rsid w:val="003D1142"/>
    <w:rsid w:val="003F75A8"/>
    <w:rsid w:val="004239B1"/>
    <w:rsid w:val="00434EBE"/>
    <w:rsid w:val="004378B3"/>
    <w:rsid w:val="00440268"/>
    <w:rsid w:val="00441B3E"/>
    <w:rsid w:val="0044599A"/>
    <w:rsid w:val="004C34FA"/>
    <w:rsid w:val="004D1878"/>
    <w:rsid w:val="005167EE"/>
    <w:rsid w:val="00560547"/>
    <w:rsid w:val="00592A7C"/>
    <w:rsid w:val="00597EEE"/>
    <w:rsid w:val="005A4E4E"/>
    <w:rsid w:val="005C5383"/>
    <w:rsid w:val="005C7FD9"/>
    <w:rsid w:val="005E68C0"/>
    <w:rsid w:val="0060095E"/>
    <w:rsid w:val="006117B4"/>
    <w:rsid w:val="00627C5E"/>
    <w:rsid w:val="006543E1"/>
    <w:rsid w:val="00693E6C"/>
    <w:rsid w:val="006B5B93"/>
    <w:rsid w:val="006C5EB6"/>
    <w:rsid w:val="006D1A79"/>
    <w:rsid w:val="00751EC7"/>
    <w:rsid w:val="00764F4C"/>
    <w:rsid w:val="007B28B3"/>
    <w:rsid w:val="007D333B"/>
    <w:rsid w:val="007F2EB9"/>
    <w:rsid w:val="007F5CC7"/>
    <w:rsid w:val="00800A1F"/>
    <w:rsid w:val="00816FAC"/>
    <w:rsid w:val="00827F73"/>
    <w:rsid w:val="00861C85"/>
    <w:rsid w:val="00867984"/>
    <w:rsid w:val="009054FA"/>
    <w:rsid w:val="00913482"/>
    <w:rsid w:val="00935C7B"/>
    <w:rsid w:val="009546DB"/>
    <w:rsid w:val="009579D3"/>
    <w:rsid w:val="009A476E"/>
    <w:rsid w:val="00A2773D"/>
    <w:rsid w:val="00A54966"/>
    <w:rsid w:val="00A7558D"/>
    <w:rsid w:val="00AB0843"/>
    <w:rsid w:val="00AB2EA7"/>
    <w:rsid w:val="00B139E5"/>
    <w:rsid w:val="00B165A1"/>
    <w:rsid w:val="00B70724"/>
    <w:rsid w:val="00BC449C"/>
    <w:rsid w:val="00BC5D6B"/>
    <w:rsid w:val="00BD5086"/>
    <w:rsid w:val="00BD53F1"/>
    <w:rsid w:val="00C469A0"/>
    <w:rsid w:val="00C66048"/>
    <w:rsid w:val="00C81545"/>
    <w:rsid w:val="00CA71FB"/>
    <w:rsid w:val="00CC2799"/>
    <w:rsid w:val="00CF2146"/>
    <w:rsid w:val="00D06172"/>
    <w:rsid w:val="00D126C0"/>
    <w:rsid w:val="00D233E5"/>
    <w:rsid w:val="00D5040F"/>
    <w:rsid w:val="00D74B75"/>
    <w:rsid w:val="00D76058"/>
    <w:rsid w:val="00DB1A42"/>
    <w:rsid w:val="00DC1D43"/>
    <w:rsid w:val="00DF261C"/>
    <w:rsid w:val="00EA454C"/>
    <w:rsid w:val="00EA6058"/>
    <w:rsid w:val="00ED1F00"/>
    <w:rsid w:val="00ED4B27"/>
    <w:rsid w:val="00EE51F6"/>
    <w:rsid w:val="00EF25E1"/>
    <w:rsid w:val="00EF4816"/>
    <w:rsid w:val="00F10FB8"/>
    <w:rsid w:val="00F46224"/>
    <w:rsid w:val="00F93119"/>
    <w:rsid w:val="00F9548B"/>
    <w:rsid w:val="00FC033A"/>
    <w:rsid w:val="00FE2BB9"/>
    <w:rsid w:val="00FE56E5"/>
    <w:rsid w:val="00FE6377"/>
    <w:rsid w:val="00FF3C90"/>
    <w:rsid w:val="061159AB"/>
    <w:rsid w:val="0F84011E"/>
    <w:rsid w:val="1B4E338C"/>
    <w:rsid w:val="2E0C0E4C"/>
    <w:rsid w:val="349A29F6"/>
    <w:rsid w:val="48CD3E8C"/>
    <w:rsid w:val="58B84FCF"/>
    <w:rsid w:val="5E7D60C4"/>
    <w:rsid w:val="6EA52C47"/>
    <w:rsid w:val="776946A9"/>
    <w:rsid w:val="79D3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unhideWhenUsed/>
    <w:qFormat/>
    <w:rsid w:val="00827F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uiPriority w:val="99"/>
    <w:unhideWhenUsed/>
    <w:rsid w:val="00827F73"/>
    <w:pPr>
      <w:spacing w:after="120"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827F73"/>
    <w:pPr>
      <w:spacing w:after="120"/>
      <w:ind w:left="360"/>
    </w:pPr>
  </w:style>
  <w:style w:type="paragraph" w:styleId="Podnoje">
    <w:name w:val="footer"/>
    <w:basedOn w:val="Normal"/>
    <w:link w:val="PodnojeChar"/>
    <w:uiPriority w:val="99"/>
    <w:unhideWhenUsed/>
    <w:rsid w:val="00827F73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rsid w:val="00827F73"/>
    <w:pPr>
      <w:tabs>
        <w:tab w:val="center" w:pos="4680"/>
        <w:tab w:val="right" w:pos="9360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27F73"/>
    <w:rPr>
      <w:color w:val="0000FF" w:themeColor="hyperlink"/>
      <w:u w:val="single"/>
    </w:rPr>
  </w:style>
  <w:style w:type="character" w:styleId="Brojstranice">
    <w:name w:val="page number"/>
    <w:basedOn w:val="Zadanifontodlomka"/>
    <w:uiPriority w:val="99"/>
    <w:unhideWhenUsed/>
    <w:rsid w:val="00827F73"/>
  </w:style>
  <w:style w:type="table" w:styleId="Reetkatablice">
    <w:name w:val="Table Grid"/>
    <w:basedOn w:val="Obinatablica"/>
    <w:rsid w:val="00827F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rezerviranogmjesta1">
    <w:name w:val="Tekst rezerviranog mjesta1"/>
    <w:basedOn w:val="Zadanifontodlomka"/>
    <w:uiPriority w:val="99"/>
    <w:semiHidden/>
    <w:qFormat/>
    <w:rsid w:val="00827F73"/>
    <w:rPr>
      <w:color w:val="80808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27F73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qFormat/>
    <w:rsid w:val="00827F73"/>
    <w:pPr>
      <w:ind w:left="720"/>
      <w:contextualSpacing/>
    </w:pPr>
  </w:style>
  <w:style w:type="paragraph" w:customStyle="1" w:styleId="Odlomakpopisa2">
    <w:name w:val="Odlomak popisa2"/>
    <w:basedOn w:val="Normal"/>
    <w:uiPriority w:val="99"/>
    <w:rsid w:val="00827F73"/>
    <w:pPr>
      <w:ind w:left="720"/>
      <w:contextualSpacing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827F73"/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27F73"/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827F73"/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UnresolvedMention">
    <w:name w:val="Unresolved Mention"/>
    <w:basedOn w:val="Zadanifontodlomka"/>
    <w:uiPriority w:val="99"/>
    <w:unhideWhenUsed/>
    <w:rsid w:val="00827F7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njiznice.ffzg.hr/info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yyy.com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plotArea>
      <c:layout>
        <c:manualLayout>
          <c:layoutTarget val="inner"/>
          <c:xMode val="edge"/>
          <c:yMode val="edge"/>
          <c:x val="0.12230215827338141"/>
          <c:y val="8.7912087912087933E-2"/>
          <c:w val="0.84172661870503762"/>
          <c:h val="0.6428571428571430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Istok</c:v>
                </c:pt>
              </c:strCache>
            </c:strRef>
          </c:tx>
          <c:spPr>
            <a:solidFill>
              <a:srgbClr val="9999FF"/>
            </a:solidFill>
            <a:ln w="1194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1. kvartal</c:v>
                </c:pt>
                <c:pt idx="1">
                  <c:v>2. kvartal</c:v>
                </c:pt>
                <c:pt idx="2">
                  <c:v>3. kvartal</c:v>
                </c:pt>
                <c:pt idx="3">
                  <c:v>4. kvartal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Zapad</c:v>
                </c:pt>
              </c:strCache>
            </c:strRef>
          </c:tx>
          <c:spPr>
            <a:solidFill>
              <a:srgbClr val="993366"/>
            </a:solidFill>
            <a:ln w="1194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1. kvartal</c:v>
                </c:pt>
                <c:pt idx="1">
                  <c:v>2. kvartal</c:v>
                </c:pt>
                <c:pt idx="2">
                  <c:v>3. kvartal</c:v>
                </c:pt>
                <c:pt idx="3">
                  <c:v>4. kvartal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Sjever</c:v>
                </c:pt>
              </c:strCache>
            </c:strRef>
          </c:tx>
          <c:spPr>
            <a:solidFill>
              <a:srgbClr val="FFFFCC"/>
            </a:solidFill>
            <a:ln w="1194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1. kvartal</c:v>
                </c:pt>
                <c:pt idx="1">
                  <c:v>2. kvartal</c:v>
                </c:pt>
                <c:pt idx="2">
                  <c:v>3. kvartal</c:v>
                </c:pt>
                <c:pt idx="3">
                  <c:v>4. kvartal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axId val="207323136"/>
        <c:axId val="207324672"/>
      </c:barChart>
      <c:catAx>
        <c:axId val="207323136"/>
        <c:scaling>
          <c:orientation val="minMax"/>
        </c:scaling>
        <c:axPos val="b"/>
        <c:numFmt formatCode="General" sourceLinked="1"/>
        <c:tickLblPos val="low"/>
        <c:spPr>
          <a:ln w="2987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755" b="1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sr-Latn-CS"/>
          </a:p>
        </c:txPr>
        <c:crossAx val="207324672"/>
        <c:crosses val="autoZero"/>
        <c:auto val="1"/>
        <c:lblAlgn val="ctr"/>
        <c:lblOffset val="100"/>
        <c:tickLblSkip val="1"/>
      </c:catAx>
      <c:valAx>
        <c:axId val="207324672"/>
        <c:scaling>
          <c:orientation val="minMax"/>
        </c:scaling>
        <c:axPos val="l"/>
        <c:majorGridlines>
          <c:spPr>
            <a:ln w="2987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tickLblPos val="nextTo"/>
        <c:spPr>
          <a:ln w="2987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755" b="1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sr-Latn-CS"/>
          </a:p>
        </c:txPr>
        <c:crossAx val="2073231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plotVisOnly val="1"/>
    <c:dispBlanksAs val="gap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en-US" sz="755" b="1" i="0" u="none" strike="noStrike" baseline="0">
          <a:solidFill>
            <a:srgbClr val="000000"/>
          </a:solidFill>
          <a:latin typeface="Arial" panose="020B0604020202020204"/>
          <a:ea typeface="Arial" panose="020B0604020202020204"/>
          <a:cs typeface="Arial" panose="020B0604020202020204"/>
        </a:defRPr>
      </a:pPr>
      <a:endParaRPr lang="sr-Latn-C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compat>
    <w:useFELayout/>
  </w:compat>
  <w:rsids>
    <w:rsidRoot w:val="00A548EA"/>
    <w:rsid w:val="000E1C58"/>
    <w:rsid w:val="000F1B0E"/>
    <w:rsid w:val="001358FC"/>
    <w:rsid w:val="00150E99"/>
    <w:rsid w:val="00381962"/>
    <w:rsid w:val="0046447A"/>
    <w:rsid w:val="004F4CBF"/>
    <w:rsid w:val="005374FF"/>
    <w:rsid w:val="00550762"/>
    <w:rsid w:val="00556106"/>
    <w:rsid w:val="00585A94"/>
    <w:rsid w:val="005A66E8"/>
    <w:rsid w:val="005E1F87"/>
    <w:rsid w:val="005E28C7"/>
    <w:rsid w:val="006F4C51"/>
    <w:rsid w:val="0081626D"/>
    <w:rsid w:val="008A06A7"/>
    <w:rsid w:val="008B3A53"/>
    <w:rsid w:val="00974453"/>
    <w:rsid w:val="009C4F1E"/>
    <w:rsid w:val="00A548EA"/>
    <w:rsid w:val="00A878C8"/>
    <w:rsid w:val="00B32684"/>
    <w:rsid w:val="00BB1C16"/>
    <w:rsid w:val="00BE0949"/>
    <w:rsid w:val="00CA31E8"/>
    <w:rsid w:val="00D335D6"/>
    <w:rsid w:val="00FC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/>
    <w:lsdException w:name="Normal Table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06"/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rezerviranogmjesta1">
    <w:name w:val="Tekst rezerviranog mjesta1"/>
    <w:basedOn w:val="Zadanifontodlomka"/>
    <w:uiPriority w:val="99"/>
    <w:semiHidden/>
    <w:rsid w:val="00556106"/>
    <w:rPr>
      <w:color w:val="808080"/>
    </w:rPr>
  </w:style>
  <w:style w:type="paragraph" w:customStyle="1" w:styleId="50F1A927C2FC48158D34ADAF932978E8">
    <w:name w:val="50F1A927C2FC48158D34ADAF932978E8"/>
    <w:rsid w:val="00556106"/>
    <w:rPr>
      <w:sz w:val="22"/>
      <w:szCs w:val="22"/>
    </w:rPr>
  </w:style>
  <w:style w:type="paragraph" w:customStyle="1" w:styleId="A5CBDD87DB7D4EE98794DF4DEF377A80">
    <w:name w:val="A5CBDD87DB7D4EE98794DF4DEF377A80"/>
    <w:qFormat/>
    <w:rsid w:val="00556106"/>
    <w:rPr>
      <w:sz w:val="22"/>
      <w:szCs w:val="22"/>
    </w:rPr>
  </w:style>
  <w:style w:type="paragraph" w:customStyle="1" w:styleId="6EF89A66B535440A919DA2F753479C2F">
    <w:name w:val="6EF89A66B535440A919DA2F753479C2F"/>
    <w:rsid w:val="00556106"/>
    <w:rPr>
      <w:sz w:val="22"/>
      <w:szCs w:val="22"/>
    </w:rPr>
  </w:style>
  <w:style w:type="paragraph" w:customStyle="1" w:styleId="3AF17B81F4D64BF2A0A51FF93A0EC41B">
    <w:name w:val="3AF17B81F4D64BF2A0A51FF93A0EC41B"/>
    <w:rsid w:val="00556106"/>
    <w:rPr>
      <w:sz w:val="22"/>
      <w:szCs w:val="22"/>
    </w:rPr>
  </w:style>
  <w:style w:type="paragraph" w:customStyle="1" w:styleId="EDBC000F24A24310A42B9F2DD3C251C8">
    <w:name w:val="EDBC000F24A24310A42B9F2DD3C251C8"/>
    <w:rsid w:val="00556106"/>
    <w:rPr>
      <w:sz w:val="22"/>
      <w:szCs w:val="22"/>
    </w:rPr>
  </w:style>
  <w:style w:type="paragraph" w:customStyle="1" w:styleId="F2E8AD0AC10E411D934EB2C0A73B819E">
    <w:name w:val="F2E8AD0AC10E411D934EB2C0A73B819E"/>
    <w:rsid w:val="00556106"/>
    <w:pPr>
      <w:spacing w:after="160" w:line="259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8ACE6-5097-4D06-BACC-D6BB537F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Ucenik</dc:creator>
  <cp:lastModifiedBy>Jelena</cp:lastModifiedBy>
  <cp:revision>16</cp:revision>
  <cp:lastPrinted>2018-01-18T11:54:00Z</cp:lastPrinted>
  <dcterms:created xsi:type="dcterms:W3CDTF">2018-01-17T12:48:00Z</dcterms:created>
  <dcterms:modified xsi:type="dcterms:W3CDTF">2018-05-25T07:01:00Z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