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15" w:rsidRDefault="005F103D" w:rsidP="005F103D">
      <w:pPr>
        <w:jc w:val="center"/>
        <w:rPr>
          <w:rFonts w:ascii="Times New Roman" w:hAnsi="Times New Roman" w:cs="Times New Roman"/>
          <w:color w:val="4F81BD" w:themeColor="accent1"/>
          <w:sz w:val="48"/>
          <w:szCs w:val="48"/>
        </w:rPr>
      </w:pPr>
      <w:r w:rsidRPr="005F103D">
        <w:rPr>
          <w:rFonts w:ascii="Times New Roman" w:hAnsi="Times New Roman" w:cs="Times New Roman"/>
          <w:color w:val="4F81BD" w:themeColor="accent1"/>
          <w:sz w:val="48"/>
          <w:szCs w:val="48"/>
        </w:rPr>
        <w:t>ERASMUS+ Stručna praksa</w:t>
      </w:r>
    </w:p>
    <w:p w:rsidR="005F103D" w:rsidRDefault="005F103D" w:rsidP="005F103D">
      <w:pPr>
        <w:rPr>
          <w:rFonts w:ascii="Times New Roman" w:hAnsi="Times New Roman" w:cs="Times New Roman"/>
          <w:sz w:val="28"/>
          <w:szCs w:val="28"/>
        </w:rPr>
      </w:pPr>
    </w:p>
    <w:p w:rsidR="005F103D" w:rsidRDefault="005F103D" w:rsidP="005F103D">
      <w:pPr>
        <w:rPr>
          <w:rFonts w:ascii="Times New Roman" w:hAnsi="Times New Roman" w:cs="Times New Roman"/>
          <w:sz w:val="24"/>
          <w:szCs w:val="24"/>
        </w:rPr>
      </w:pPr>
      <w:r>
        <w:rPr>
          <w:rFonts w:ascii="Times New Roman" w:hAnsi="Times New Roman" w:cs="Times New Roman"/>
          <w:sz w:val="24"/>
          <w:szCs w:val="24"/>
        </w:rPr>
        <w:t>Svi s</w:t>
      </w:r>
      <w:r w:rsidRPr="005F103D">
        <w:rPr>
          <w:rFonts w:ascii="Times New Roman" w:hAnsi="Times New Roman" w:cs="Times New Roman"/>
          <w:sz w:val="24"/>
          <w:szCs w:val="24"/>
        </w:rPr>
        <w:t xml:space="preserve">tudenti Sveučilišta u Splitu imaju mogućnost izbora smještaja i stjecanja radnog iskustva u stranoj instituciji prije </w:t>
      </w:r>
      <w:r>
        <w:rPr>
          <w:rFonts w:ascii="Times New Roman" w:hAnsi="Times New Roman" w:cs="Times New Roman"/>
          <w:sz w:val="24"/>
          <w:szCs w:val="24"/>
        </w:rPr>
        <w:t xml:space="preserve">stjecanja </w:t>
      </w:r>
      <w:r w:rsidRPr="005F103D">
        <w:rPr>
          <w:rFonts w:ascii="Times New Roman" w:hAnsi="Times New Roman" w:cs="Times New Roman"/>
          <w:sz w:val="24"/>
          <w:szCs w:val="24"/>
        </w:rPr>
        <w:t xml:space="preserve">diplome. To se može postići pripravništvom (relevantnim za studijski program studenata) u bilo kojoj </w:t>
      </w:r>
      <w:r>
        <w:rPr>
          <w:rFonts w:ascii="Times New Roman" w:hAnsi="Times New Roman" w:cs="Times New Roman"/>
          <w:sz w:val="24"/>
          <w:szCs w:val="24"/>
        </w:rPr>
        <w:t>programskoj</w:t>
      </w:r>
      <w:r w:rsidRPr="005F103D">
        <w:rPr>
          <w:rFonts w:ascii="Times New Roman" w:hAnsi="Times New Roman" w:cs="Times New Roman"/>
          <w:sz w:val="24"/>
          <w:szCs w:val="24"/>
        </w:rPr>
        <w:t xml:space="preserve"> zemlji (zemlje EU-a, Makedonija, Turska, Norveška, Otok i Lihtenštajn) i uz financijsku potporu programa </w:t>
      </w:r>
      <w:proofErr w:type="spellStart"/>
      <w:r w:rsidRPr="005F103D">
        <w:rPr>
          <w:rFonts w:ascii="Times New Roman" w:hAnsi="Times New Roman" w:cs="Times New Roman"/>
          <w:sz w:val="24"/>
          <w:szCs w:val="24"/>
        </w:rPr>
        <w:t>Erasmus</w:t>
      </w:r>
      <w:proofErr w:type="spellEnd"/>
      <w:r w:rsidRPr="005F103D">
        <w:rPr>
          <w:rFonts w:ascii="Times New Roman" w:hAnsi="Times New Roman" w:cs="Times New Roman"/>
          <w:sz w:val="24"/>
          <w:szCs w:val="24"/>
        </w:rPr>
        <w:t xml:space="preserve"> +.</w:t>
      </w:r>
    </w:p>
    <w:p w:rsidR="005F103D" w:rsidRDefault="005F103D" w:rsidP="005F103D">
      <w:pPr>
        <w:rPr>
          <w:rFonts w:ascii="Times New Roman" w:hAnsi="Times New Roman" w:cs="Times New Roman"/>
          <w:sz w:val="24"/>
          <w:szCs w:val="24"/>
        </w:rPr>
      </w:pPr>
    </w:p>
    <w:p w:rsidR="005F103D" w:rsidRDefault="005F103D" w:rsidP="000A747B">
      <w:pPr>
        <w:spacing w:after="0"/>
        <w:rPr>
          <w:rFonts w:ascii="Times New Roman" w:hAnsi="Times New Roman" w:cs="Times New Roman"/>
          <w:color w:val="4F81BD" w:themeColor="accent1"/>
          <w:sz w:val="32"/>
          <w:szCs w:val="32"/>
        </w:rPr>
      </w:pPr>
      <w:r w:rsidRPr="005F103D">
        <w:rPr>
          <w:rFonts w:ascii="Times New Roman" w:hAnsi="Times New Roman" w:cs="Times New Roman"/>
          <w:color w:val="4F81BD" w:themeColor="accent1"/>
          <w:sz w:val="32"/>
          <w:szCs w:val="32"/>
        </w:rPr>
        <w:t>Trajanje mobilnosti</w:t>
      </w:r>
    </w:p>
    <w:p w:rsidR="005F103D" w:rsidRPr="005F103D" w:rsidRDefault="005F103D" w:rsidP="000A747B">
      <w:pPr>
        <w:spacing w:after="0"/>
        <w:rPr>
          <w:rFonts w:ascii="Times New Roman" w:hAnsi="Times New Roman" w:cs="Times New Roman"/>
          <w:sz w:val="24"/>
          <w:szCs w:val="24"/>
        </w:rPr>
      </w:pPr>
      <w:r>
        <w:rPr>
          <w:rFonts w:ascii="Times New Roman" w:hAnsi="Times New Roman" w:cs="Times New Roman"/>
          <w:sz w:val="24"/>
          <w:szCs w:val="24"/>
        </w:rPr>
        <w:t xml:space="preserve">Studentska mobilnost u svrhu stjecanje stručne prakse iznosi od </w:t>
      </w:r>
      <w:r w:rsidRPr="005F103D">
        <w:rPr>
          <w:rFonts w:ascii="Times New Roman" w:hAnsi="Times New Roman" w:cs="Times New Roman"/>
          <w:sz w:val="24"/>
          <w:szCs w:val="24"/>
        </w:rPr>
        <w:t>2 - 12 mjeseci</w:t>
      </w:r>
      <w:r>
        <w:rPr>
          <w:rFonts w:ascii="Times New Roman" w:hAnsi="Times New Roman" w:cs="Times New Roman"/>
          <w:sz w:val="24"/>
          <w:szCs w:val="24"/>
        </w:rPr>
        <w:t>.</w:t>
      </w:r>
      <w:r w:rsidRPr="005F103D">
        <w:rPr>
          <w:rFonts w:ascii="Times New Roman" w:hAnsi="Times New Roman" w:cs="Times New Roman"/>
          <w:sz w:val="24"/>
          <w:szCs w:val="24"/>
        </w:rPr>
        <w:t>1 mjesec mobilnosti odnosi se na razdoblje od 30 dana.</w:t>
      </w:r>
    </w:p>
    <w:p w:rsidR="005F103D" w:rsidRDefault="005F103D" w:rsidP="005F103D">
      <w:pPr>
        <w:rPr>
          <w:rFonts w:ascii="Times New Roman" w:hAnsi="Times New Roman" w:cs="Times New Roman"/>
          <w:sz w:val="24"/>
          <w:szCs w:val="24"/>
        </w:rPr>
      </w:pPr>
      <w:r w:rsidRPr="005F103D">
        <w:rPr>
          <w:rFonts w:ascii="Times New Roman" w:hAnsi="Times New Roman" w:cs="Times New Roman"/>
          <w:sz w:val="24"/>
          <w:szCs w:val="24"/>
        </w:rPr>
        <w:t xml:space="preserve">Tijekom studija studenti mogu biti korisnici financijske potpore za mobilnosti do ukupno 12 mjeseci na svakoj razini studija (preddiplomski uključujući </w:t>
      </w:r>
      <w:proofErr w:type="spellStart"/>
      <w:r w:rsidRPr="005F103D">
        <w:rPr>
          <w:rFonts w:ascii="Times New Roman" w:hAnsi="Times New Roman" w:cs="Times New Roman"/>
          <w:sz w:val="24"/>
          <w:szCs w:val="24"/>
        </w:rPr>
        <w:t>short</w:t>
      </w:r>
      <w:proofErr w:type="spellEnd"/>
      <w:r w:rsidRPr="005F103D">
        <w:rPr>
          <w:rFonts w:ascii="Times New Roman" w:hAnsi="Times New Roman" w:cs="Times New Roman"/>
          <w:sz w:val="24"/>
          <w:szCs w:val="24"/>
        </w:rPr>
        <w:t xml:space="preserve"> </w:t>
      </w:r>
      <w:proofErr w:type="spellStart"/>
      <w:r w:rsidRPr="005F103D">
        <w:rPr>
          <w:rFonts w:ascii="Times New Roman" w:hAnsi="Times New Roman" w:cs="Times New Roman"/>
          <w:sz w:val="24"/>
          <w:szCs w:val="24"/>
        </w:rPr>
        <w:t>cycle</w:t>
      </w:r>
      <w:proofErr w:type="spellEnd"/>
      <w:r w:rsidRPr="005F103D">
        <w:rPr>
          <w:rFonts w:ascii="Times New Roman" w:hAnsi="Times New Roman" w:cs="Times New Roman"/>
          <w:sz w:val="24"/>
          <w:szCs w:val="24"/>
        </w:rPr>
        <w:t xml:space="preserve"> (EQF razine 5 i 6), diplomski (razina 7), doktorski (razina 8), neovisno o tome koliko puta.</w:t>
      </w:r>
    </w:p>
    <w:p w:rsidR="005F103D" w:rsidRPr="005F103D" w:rsidRDefault="005F103D" w:rsidP="005F103D">
      <w:pPr>
        <w:rPr>
          <w:rFonts w:ascii="Times New Roman" w:hAnsi="Times New Roman" w:cs="Times New Roman"/>
          <w:sz w:val="24"/>
          <w:szCs w:val="24"/>
        </w:rPr>
      </w:pPr>
      <w:r w:rsidRPr="005F103D">
        <w:rPr>
          <w:rFonts w:ascii="Times New Roman" w:hAnsi="Times New Roman" w:cs="Times New Roman"/>
          <w:sz w:val="24"/>
          <w:szCs w:val="24"/>
        </w:rPr>
        <w:t xml:space="preserve">Na </w:t>
      </w:r>
      <w:proofErr w:type="spellStart"/>
      <w:r w:rsidRPr="005F103D">
        <w:rPr>
          <w:rFonts w:ascii="Times New Roman" w:hAnsi="Times New Roman" w:cs="Times New Roman"/>
          <w:sz w:val="24"/>
          <w:szCs w:val="24"/>
        </w:rPr>
        <w:t>Erasmus</w:t>
      </w:r>
      <w:proofErr w:type="spellEnd"/>
      <w:r w:rsidRPr="005F103D">
        <w:rPr>
          <w:rFonts w:ascii="Times New Roman" w:hAnsi="Times New Roman" w:cs="Times New Roman"/>
          <w:sz w:val="24"/>
          <w:szCs w:val="24"/>
        </w:rPr>
        <w:t>+ stručnu praksu je moguće otići unutar godine dana od završetka studija ukoliko se student/</w:t>
      </w:r>
      <w:proofErr w:type="spellStart"/>
      <w:r w:rsidRPr="005F103D">
        <w:rPr>
          <w:rFonts w:ascii="Times New Roman" w:hAnsi="Times New Roman" w:cs="Times New Roman"/>
          <w:sz w:val="24"/>
          <w:szCs w:val="24"/>
        </w:rPr>
        <w:t>ica</w:t>
      </w:r>
      <w:proofErr w:type="spellEnd"/>
      <w:r w:rsidRPr="005F103D">
        <w:rPr>
          <w:rFonts w:ascii="Times New Roman" w:hAnsi="Times New Roman" w:cs="Times New Roman"/>
          <w:sz w:val="24"/>
          <w:szCs w:val="24"/>
        </w:rPr>
        <w:t xml:space="preserve"> prijavi dok ima status studenta (prije završetka studija).</w:t>
      </w:r>
    </w:p>
    <w:p w:rsidR="005F103D" w:rsidRDefault="005F103D" w:rsidP="005F103D">
      <w:pPr>
        <w:spacing w:after="0"/>
        <w:rPr>
          <w:rFonts w:ascii="Times New Roman" w:hAnsi="Times New Roman" w:cs="Times New Roman"/>
          <w:color w:val="4F81BD" w:themeColor="accent1"/>
          <w:sz w:val="32"/>
          <w:szCs w:val="32"/>
        </w:rPr>
      </w:pPr>
    </w:p>
    <w:p w:rsidR="005F103D" w:rsidRPr="005F103D" w:rsidRDefault="005F103D" w:rsidP="005F103D">
      <w:pPr>
        <w:spacing w:after="0"/>
        <w:rPr>
          <w:rFonts w:ascii="Times New Roman" w:hAnsi="Times New Roman" w:cs="Times New Roman"/>
          <w:color w:val="4F81BD" w:themeColor="accent1"/>
          <w:sz w:val="32"/>
          <w:szCs w:val="32"/>
        </w:rPr>
      </w:pPr>
      <w:r w:rsidRPr="005F103D">
        <w:rPr>
          <w:rFonts w:ascii="Times New Roman" w:hAnsi="Times New Roman" w:cs="Times New Roman"/>
          <w:color w:val="4F81BD" w:themeColor="accent1"/>
          <w:sz w:val="32"/>
          <w:szCs w:val="32"/>
        </w:rPr>
        <w:t>Prijava</w:t>
      </w:r>
    </w:p>
    <w:p w:rsidR="005F103D" w:rsidRPr="005F103D" w:rsidRDefault="005F103D" w:rsidP="005F103D">
      <w:pPr>
        <w:spacing w:after="0"/>
        <w:rPr>
          <w:rFonts w:ascii="Times New Roman" w:hAnsi="Times New Roman" w:cs="Times New Roman"/>
          <w:sz w:val="24"/>
          <w:szCs w:val="24"/>
        </w:rPr>
      </w:pPr>
      <w:r w:rsidRPr="005F103D">
        <w:rPr>
          <w:rFonts w:ascii="Times New Roman" w:hAnsi="Times New Roman" w:cs="Times New Roman"/>
          <w:sz w:val="24"/>
          <w:szCs w:val="24"/>
        </w:rPr>
        <w:t xml:space="preserve">Prijave se rješavaju odmah po principu „first </w:t>
      </w:r>
      <w:proofErr w:type="spellStart"/>
      <w:r w:rsidRPr="005F103D">
        <w:rPr>
          <w:rFonts w:ascii="Times New Roman" w:hAnsi="Times New Roman" w:cs="Times New Roman"/>
          <w:sz w:val="24"/>
          <w:szCs w:val="24"/>
        </w:rPr>
        <w:t>come</w:t>
      </w:r>
      <w:proofErr w:type="spellEnd"/>
      <w:r w:rsidRPr="005F103D">
        <w:rPr>
          <w:rFonts w:ascii="Times New Roman" w:hAnsi="Times New Roman" w:cs="Times New Roman"/>
          <w:sz w:val="24"/>
          <w:szCs w:val="24"/>
        </w:rPr>
        <w:t xml:space="preserve">, first </w:t>
      </w:r>
      <w:proofErr w:type="spellStart"/>
      <w:r w:rsidRPr="005F103D">
        <w:rPr>
          <w:rFonts w:ascii="Times New Roman" w:hAnsi="Times New Roman" w:cs="Times New Roman"/>
          <w:sz w:val="24"/>
          <w:szCs w:val="24"/>
        </w:rPr>
        <w:t>served</w:t>
      </w:r>
      <w:proofErr w:type="spellEnd"/>
      <w:r w:rsidRPr="005F103D">
        <w:rPr>
          <w:rFonts w:ascii="Times New Roman" w:hAnsi="Times New Roman" w:cs="Times New Roman"/>
          <w:sz w:val="24"/>
          <w:szCs w:val="24"/>
        </w:rPr>
        <w:t>“.</w:t>
      </w:r>
    </w:p>
    <w:p w:rsidR="005F103D" w:rsidRDefault="005F103D" w:rsidP="005F103D">
      <w:pPr>
        <w:rPr>
          <w:rFonts w:ascii="Times New Roman" w:hAnsi="Times New Roman" w:cs="Times New Roman"/>
          <w:sz w:val="24"/>
          <w:szCs w:val="24"/>
        </w:rPr>
      </w:pPr>
    </w:p>
    <w:p w:rsidR="005F103D" w:rsidRPr="005F103D" w:rsidRDefault="005F103D" w:rsidP="005F103D">
      <w:pPr>
        <w:spacing w:after="0"/>
        <w:rPr>
          <w:rFonts w:ascii="Times New Roman" w:hAnsi="Times New Roman" w:cs="Times New Roman"/>
          <w:color w:val="4F81BD" w:themeColor="accent1"/>
          <w:sz w:val="32"/>
          <w:szCs w:val="32"/>
        </w:rPr>
      </w:pPr>
      <w:r w:rsidRPr="005F103D">
        <w:rPr>
          <w:rFonts w:ascii="Times New Roman" w:hAnsi="Times New Roman" w:cs="Times New Roman"/>
          <w:color w:val="4F81BD" w:themeColor="accent1"/>
          <w:sz w:val="32"/>
          <w:szCs w:val="32"/>
        </w:rPr>
        <w:t>Financijska potpora</w:t>
      </w:r>
    </w:p>
    <w:p w:rsidR="005F103D" w:rsidRPr="005F103D" w:rsidRDefault="005F103D" w:rsidP="005F103D">
      <w:pPr>
        <w:spacing w:after="0"/>
        <w:jc w:val="both"/>
        <w:rPr>
          <w:rFonts w:ascii="Times New Roman" w:hAnsi="Times New Roman" w:cs="Times New Roman"/>
          <w:sz w:val="24"/>
          <w:szCs w:val="24"/>
        </w:rPr>
      </w:pPr>
      <w:r w:rsidRPr="005F103D">
        <w:rPr>
          <w:rFonts w:ascii="Times New Roman" w:hAnsi="Times New Roman" w:cs="Times New Roman"/>
          <w:sz w:val="24"/>
          <w:szCs w:val="24"/>
        </w:rPr>
        <w:t xml:space="preserve">Studenti ne mogu dobiti financijsku potporu - grant u sklopu programa </w:t>
      </w:r>
      <w:proofErr w:type="spellStart"/>
      <w:r w:rsidRPr="005F103D">
        <w:rPr>
          <w:rFonts w:ascii="Times New Roman" w:hAnsi="Times New Roman" w:cs="Times New Roman"/>
          <w:sz w:val="24"/>
          <w:szCs w:val="24"/>
        </w:rPr>
        <w:t>Erasmus</w:t>
      </w:r>
      <w:proofErr w:type="spellEnd"/>
      <w:r w:rsidRPr="005F103D">
        <w:rPr>
          <w:rFonts w:ascii="Times New Roman" w:hAnsi="Times New Roman" w:cs="Times New Roman"/>
          <w:sz w:val="24"/>
          <w:szCs w:val="24"/>
        </w:rPr>
        <w:t>+ ukoliko će njihov boravak u inozemstvu biti dodatno financiran iz sredstava koja potječu iz Europske unije. Pod dvostrukim financiranjem ne smatraju se nacionalne, lokalne ili druge stipendije koje se inače dodjeljuju studentima za redovan studij na matičnoj visokoškolskoj ustanovi.</w:t>
      </w:r>
    </w:p>
    <w:p w:rsidR="000A747B" w:rsidRDefault="000A747B" w:rsidP="000A747B">
      <w:pPr>
        <w:spacing w:after="0"/>
        <w:rPr>
          <w:rFonts w:ascii="Times New Roman" w:hAnsi="Times New Roman" w:cs="Times New Roman"/>
          <w:sz w:val="24"/>
          <w:szCs w:val="24"/>
        </w:rPr>
      </w:pPr>
    </w:p>
    <w:p w:rsidR="000A747B" w:rsidRPr="005F103D" w:rsidRDefault="000A747B" w:rsidP="000A747B">
      <w:pPr>
        <w:spacing w:after="0"/>
        <w:jc w:val="both"/>
        <w:rPr>
          <w:rFonts w:ascii="Times New Roman" w:hAnsi="Times New Roman" w:cs="Times New Roman"/>
          <w:sz w:val="24"/>
          <w:szCs w:val="24"/>
        </w:rPr>
      </w:pPr>
      <w:r w:rsidRPr="005F103D">
        <w:rPr>
          <w:rFonts w:ascii="Times New Roman" w:hAnsi="Times New Roman" w:cs="Times New Roman"/>
          <w:sz w:val="24"/>
          <w:szCs w:val="24"/>
        </w:rPr>
        <w:t xml:space="preserve">Financijska potpora koja se dodjeljuje u sklopu programa </w:t>
      </w:r>
      <w:proofErr w:type="spellStart"/>
      <w:r w:rsidRPr="005F103D">
        <w:rPr>
          <w:rFonts w:ascii="Times New Roman" w:hAnsi="Times New Roman" w:cs="Times New Roman"/>
          <w:sz w:val="24"/>
          <w:szCs w:val="24"/>
        </w:rPr>
        <w:t>Erasmus</w:t>
      </w:r>
      <w:proofErr w:type="spellEnd"/>
      <w:r w:rsidRPr="005F103D">
        <w:rPr>
          <w:rFonts w:ascii="Times New Roman" w:hAnsi="Times New Roman" w:cs="Times New Roman"/>
          <w:sz w:val="24"/>
          <w:szCs w:val="24"/>
        </w:rPr>
        <w:t>+ zamišljena je kao dodatak (potpora) na troškove studiranja koje bi student imao i na matičnom sveučilištu, tako da nikako ne pokriva cjelokupni trošak boravka na inozemnoj instituciji. Konačan iznos financijske potpore za akademsku godinu 2014./15. određuje Agencija za mobilnost i programe EU (AMPEU) i to na sljedeći način:</w:t>
      </w:r>
    </w:p>
    <w:p w:rsidR="000A747B" w:rsidRPr="005F103D" w:rsidRDefault="000A747B" w:rsidP="000A747B">
      <w:pPr>
        <w:spacing w:after="0"/>
        <w:jc w:val="both"/>
        <w:rPr>
          <w:rFonts w:ascii="Times New Roman" w:hAnsi="Times New Roman" w:cs="Times New Roman"/>
          <w:sz w:val="24"/>
          <w:szCs w:val="24"/>
        </w:rPr>
      </w:pPr>
    </w:p>
    <w:p w:rsidR="000A747B" w:rsidRPr="000A747B" w:rsidRDefault="000A747B" w:rsidP="000A747B">
      <w:pPr>
        <w:pStyle w:val="Odlomakpopisa"/>
        <w:numPr>
          <w:ilvl w:val="0"/>
          <w:numId w:val="1"/>
        </w:numPr>
        <w:spacing w:after="0"/>
        <w:jc w:val="both"/>
        <w:rPr>
          <w:rFonts w:ascii="Times New Roman" w:hAnsi="Times New Roman" w:cs="Times New Roman"/>
          <w:sz w:val="24"/>
          <w:szCs w:val="24"/>
        </w:rPr>
      </w:pPr>
      <w:r w:rsidRPr="000A747B">
        <w:rPr>
          <w:rFonts w:ascii="Times New Roman" w:hAnsi="Times New Roman" w:cs="Times New Roman"/>
          <w:sz w:val="24"/>
          <w:szCs w:val="24"/>
        </w:rPr>
        <w:t>mobilnost prema državi viših troškova života: studenti će primiti višu financijsku potporu</w:t>
      </w:r>
    </w:p>
    <w:p w:rsidR="000A747B" w:rsidRPr="000A747B" w:rsidRDefault="000A747B" w:rsidP="000A747B">
      <w:pPr>
        <w:pStyle w:val="Odlomakpopisa"/>
        <w:numPr>
          <w:ilvl w:val="0"/>
          <w:numId w:val="1"/>
        </w:numPr>
        <w:spacing w:after="0"/>
        <w:jc w:val="both"/>
        <w:rPr>
          <w:rFonts w:ascii="Times New Roman" w:hAnsi="Times New Roman" w:cs="Times New Roman"/>
          <w:sz w:val="24"/>
          <w:szCs w:val="24"/>
        </w:rPr>
      </w:pPr>
      <w:r w:rsidRPr="000A747B">
        <w:rPr>
          <w:rFonts w:ascii="Times New Roman" w:hAnsi="Times New Roman" w:cs="Times New Roman"/>
          <w:sz w:val="24"/>
          <w:szCs w:val="24"/>
        </w:rPr>
        <w:t>mobilnost prema državi sličnih troškova života: studenti će primiti srednje visoku financijsku potporu</w:t>
      </w:r>
    </w:p>
    <w:p w:rsidR="000A747B" w:rsidRPr="000A747B" w:rsidRDefault="000A747B" w:rsidP="000A747B">
      <w:pPr>
        <w:pStyle w:val="Odlomakpopisa"/>
        <w:numPr>
          <w:ilvl w:val="0"/>
          <w:numId w:val="1"/>
        </w:numPr>
        <w:spacing w:after="0"/>
        <w:jc w:val="both"/>
        <w:rPr>
          <w:rFonts w:ascii="Times New Roman" w:hAnsi="Times New Roman" w:cs="Times New Roman"/>
          <w:sz w:val="24"/>
          <w:szCs w:val="24"/>
        </w:rPr>
      </w:pPr>
      <w:r w:rsidRPr="000A747B">
        <w:rPr>
          <w:rFonts w:ascii="Times New Roman" w:hAnsi="Times New Roman" w:cs="Times New Roman"/>
          <w:sz w:val="24"/>
          <w:szCs w:val="24"/>
        </w:rPr>
        <w:t>mobilnost prema državi nižih troškova života: studenti će primiti nižu financijsku potporu</w:t>
      </w:r>
    </w:p>
    <w:p w:rsidR="000A747B" w:rsidRDefault="000A747B" w:rsidP="000A747B">
      <w:pPr>
        <w:spacing w:after="0"/>
        <w:jc w:val="both"/>
        <w:rPr>
          <w:rFonts w:ascii="Times New Roman" w:hAnsi="Times New Roman" w:cs="Times New Roman"/>
          <w:sz w:val="24"/>
          <w:szCs w:val="24"/>
        </w:rPr>
      </w:pPr>
    </w:p>
    <w:p w:rsidR="000A747B" w:rsidRDefault="000A747B" w:rsidP="000A747B">
      <w:pPr>
        <w:spacing w:after="0"/>
        <w:jc w:val="both"/>
        <w:rPr>
          <w:rFonts w:ascii="Times New Roman" w:hAnsi="Times New Roman" w:cs="Times New Roman"/>
          <w:sz w:val="24"/>
          <w:szCs w:val="24"/>
        </w:rPr>
      </w:pPr>
      <w:r w:rsidRPr="005F103D">
        <w:rPr>
          <w:rFonts w:ascii="Times New Roman" w:hAnsi="Times New Roman" w:cs="Times New Roman"/>
          <w:sz w:val="24"/>
          <w:szCs w:val="24"/>
        </w:rPr>
        <w:t>Programske zemlje su podijeljene u sljedeće tri skupine:</w:t>
      </w:r>
    </w:p>
    <w:p w:rsidR="000A747B" w:rsidRDefault="000A747B" w:rsidP="000A747B">
      <w:pPr>
        <w:spacing w:after="0"/>
        <w:jc w:val="both"/>
        <w:rPr>
          <w:rFonts w:ascii="Times New Roman" w:hAnsi="Times New Roman" w:cs="Times New Roman"/>
          <w:sz w:val="24"/>
          <w:szCs w:val="24"/>
        </w:rPr>
      </w:pPr>
    </w:p>
    <w:tbl>
      <w:tblPr>
        <w:tblStyle w:val="Svijetlipopis-Isticanje11"/>
        <w:tblW w:w="0" w:type="auto"/>
        <w:tblBorders>
          <w:insideH w:val="single" w:sz="4" w:space="0" w:color="auto"/>
          <w:insideV w:val="single" w:sz="4" w:space="0" w:color="auto"/>
        </w:tblBorders>
        <w:tblLook w:val="04A0"/>
      </w:tblPr>
      <w:tblGrid>
        <w:gridCol w:w="3096"/>
        <w:gridCol w:w="3096"/>
        <w:gridCol w:w="3096"/>
      </w:tblGrid>
      <w:tr w:rsidR="000A747B" w:rsidTr="00F70C69">
        <w:trPr>
          <w:cnfStyle w:val="100000000000"/>
          <w:trHeight w:val="735"/>
        </w:trPr>
        <w:tc>
          <w:tcPr>
            <w:cnfStyle w:val="001000000000"/>
            <w:tcW w:w="3096" w:type="dxa"/>
          </w:tcPr>
          <w:p w:rsidR="000A747B" w:rsidRDefault="000A747B" w:rsidP="00F70C69">
            <w:pPr>
              <w:jc w:val="both"/>
              <w:rPr>
                <w:rFonts w:ascii="Times New Roman" w:hAnsi="Times New Roman" w:cs="Times New Roman"/>
                <w:sz w:val="24"/>
                <w:szCs w:val="24"/>
              </w:rPr>
            </w:pPr>
          </w:p>
        </w:tc>
        <w:tc>
          <w:tcPr>
            <w:tcW w:w="3096" w:type="dxa"/>
            <w:vAlign w:val="center"/>
          </w:tcPr>
          <w:p w:rsidR="000A747B" w:rsidRPr="00341836" w:rsidRDefault="000A747B" w:rsidP="00F70C69">
            <w:pPr>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Programske zemlje</w:t>
            </w:r>
          </w:p>
        </w:tc>
        <w:tc>
          <w:tcPr>
            <w:tcW w:w="3096" w:type="dxa"/>
            <w:vAlign w:val="center"/>
          </w:tcPr>
          <w:p w:rsidR="000A747B" w:rsidRPr="00341836" w:rsidRDefault="000A747B" w:rsidP="00F70C69">
            <w:pPr>
              <w:jc w:val="center"/>
              <w:cnfStyle w:val="100000000000"/>
              <w:rPr>
                <w:rFonts w:ascii="Times New Roman" w:hAnsi="Times New Roman" w:cs="Times New Roman"/>
                <w:color w:val="auto"/>
                <w:sz w:val="24"/>
                <w:szCs w:val="24"/>
              </w:rPr>
            </w:pPr>
            <w:r w:rsidRPr="00341836">
              <w:rPr>
                <w:rFonts w:ascii="Times New Roman" w:hAnsi="Times New Roman" w:cs="Times New Roman"/>
                <w:color w:val="auto"/>
                <w:sz w:val="24"/>
                <w:szCs w:val="24"/>
              </w:rPr>
              <w:t>Iznos financijske potpore</w:t>
            </w:r>
            <w:r>
              <w:rPr>
                <w:rFonts w:ascii="Times New Roman" w:hAnsi="Times New Roman" w:cs="Times New Roman"/>
                <w:color w:val="auto"/>
                <w:sz w:val="24"/>
                <w:szCs w:val="24"/>
              </w:rPr>
              <w:t>/mjesečno</w:t>
            </w:r>
          </w:p>
        </w:tc>
      </w:tr>
      <w:tr w:rsidR="000A747B" w:rsidTr="00F70C69">
        <w:trPr>
          <w:cnfStyle w:val="000000100000"/>
          <w:trHeight w:val="1932"/>
        </w:trPr>
        <w:tc>
          <w:tcPr>
            <w:cnfStyle w:val="001000000000"/>
            <w:tcW w:w="3096" w:type="dxa"/>
            <w:tcBorders>
              <w:top w:val="none" w:sz="0" w:space="0" w:color="auto"/>
              <w:left w:val="none" w:sz="0" w:space="0" w:color="auto"/>
              <w:bottom w:val="none" w:sz="0" w:space="0" w:color="auto"/>
            </w:tcBorders>
            <w:vAlign w:val="center"/>
          </w:tcPr>
          <w:p w:rsidR="000A747B" w:rsidRPr="00341836" w:rsidRDefault="000A747B" w:rsidP="00F70C69">
            <w:pPr>
              <w:jc w:val="center"/>
              <w:rPr>
                <w:rFonts w:ascii="Times New Roman" w:hAnsi="Times New Roman" w:cs="Times New Roman"/>
                <w:color w:val="FF0000"/>
                <w:sz w:val="24"/>
                <w:szCs w:val="24"/>
              </w:rPr>
            </w:pPr>
            <w:r w:rsidRPr="00341836">
              <w:rPr>
                <w:rFonts w:ascii="Times New Roman" w:hAnsi="Times New Roman" w:cs="Times New Roman"/>
                <w:color w:val="FF0000"/>
                <w:sz w:val="24"/>
                <w:szCs w:val="24"/>
              </w:rPr>
              <w:t>Skupina 1</w:t>
            </w:r>
          </w:p>
          <w:p w:rsidR="000A747B" w:rsidRPr="00341836" w:rsidRDefault="000A747B" w:rsidP="00F70C69">
            <w:pPr>
              <w:jc w:val="center"/>
              <w:rPr>
                <w:rFonts w:ascii="Times New Roman" w:hAnsi="Times New Roman" w:cs="Times New Roman"/>
                <w:b w:val="0"/>
                <w:sz w:val="24"/>
                <w:szCs w:val="24"/>
              </w:rPr>
            </w:pPr>
            <w:r w:rsidRPr="00341836">
              <w:rPr>
                <w:rFonts w:ascii="Times New Roman" w:hAnsi="Times New Roman" w:cs="Times New Roman"/>
                <w:b w:val="0"/>
                <w:sz w:val="24"/>
                <w:szCs w:val="24"/>
              </w:rPr>
              <w:t>Programske zemlje s</w:t>
            </w:r>
          </w:p>
          <w:p w:rsidR="000A747B" w:rsidRDefault="000A747B" w:rsidP="00F70C69">
            <w:pPr>
              <w:jc w:val="center"/>
              <w:rPr>
                <w:rFonts w:ascii="Times New Roman" w:hAnsi="Times New Roman" w:cs="Times New Roman"/>
                <w:sz w:val="24"/>
                <w:szCs w:val="24"/>
              </w:rPr>
            </w:pPr>
            <w:r w:rsidRPr="00341836">
              <w:rPr>
                <w:rFonts w:ascii="Times New Roman" w:hAnsi="Times New Roman" w:cs="Times New Roman"/>
                <w:b w:val="0"/>
                <w:sz w:val="24"/>
                <w:szCs w:val="24"/>
              </w:rPr>
              <w:t>višim troškovima života</w:t>
            </w:r>
          </w:p>
        </w:tc>
        <w:tc>
          <w:tcPr>
            <w:tcW w:w="3096" w:type="dxa"/>
            <w:tcBorders>
              <w:top w:val="none" w:sz="0" w:space="0" w:color="auto"/>
              <w:bottom w:val="none" w:sz="0" w:space="0" w:color="auto"/>
            </w:tcBorders>
            <w:vAlign w:val="center"/>
          </w:tcPr>
          <w:p w:rsidR="000A747B" w:rsidRPr="00341836" w:rsidRDefault="000A747B" w:rsidP="00F70C69">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Danska, Finska, Island,</w:t>
            </w:r>
          </w:p>
          <w:p w:rsidR="000A747B" w:rsidRPr="00341836" w:rsidRDefault="000A747B" w:rsidP="00F70C69">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Švedska, Norveška, Ujedinjeno</w:t>
            </w:r>
          </w:p>
          <w:p w:rsidR="000A747B" w:rsidRPr="00341836" w:rsidRDefault="000A747B" w:rsidP="00F70C69">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Kraljevstvo, Irska, Luksemburg,</w:t>
            </w:r>
          </w:p>
          <w:p w:rsidR="000A747B" w:rsidRDefault="000A747B" w:rsidP="00F70C69">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Lihtenštajn</w:t>
            </w:r>
          </w:p>
        </w:tc>
        <w:tc>
          <w:tcPr>
            <w:tcW w:w="3096" w:type="dxa"/>
            <w:tcBorders>
              <w:top w:val="none" w:sz="0" w:space="0" w:color="auto"/>
              <w:bottom w:val="none" w:sz="0" w:space="0" w:color="auto"/>
              <w:right w:val="none" w:sz="0" w:space="0" w:color="auto"/>
            </w:tcBorders>
            <w:vAlign w:val="center"/>
          </w:tcPr>
          <w:p w:rsidR="000A747B" w:rsidRDefault="000A747B" w:rsidP="00F70C69">
            <w:pPr>
              <w:jc w:val="center"/>
              <w:cnfStyle w:val="000000100000"/>
              <w:rPr>
                <w:rFonts w:ascii="Times New Roman" w:hAnsi="Times New Roman" w:cs="Times New Roman"/>
                <w:sz w:val="24"/>
                <w:szCs w:val="24"/>
              </w:rPr>
            </w:pPr>
            <w:r>
              <w:rPr>
                <w:rFonts w:ascii="Times New Roman" w:hAnsi="Times New Roman" w:cs="Times New Roman"/>
                <w:sz w:val="24"/>
                <w:szCs w:val="24"/>
              </w:rPr>
              <w:t>600</w:t>
            </w:r>
            <w:r w:rsidRPr="00341836">
              <w:rPr>
                <w:rFonts w:ascii="Times New Roman" w:hAnsi="Times New Roman" w:cs="Times New Roman"/>
                <w:sz w:val="24"/>
                <w:szCs w:val="24"/>
              </w:rPr>
              <w:t xml:space="preserve"> EUR</w:t>
            </w:r>
          </w:p>
        </w:tc>
      </w:tr>
      <w:tr w:rsidR="000A747B" w:rsidTr="00F70C69">
        <w:trPr>
          <w:trHeight w:val="1932"/>
        </w:trPr>
        <w:tc>
          <w:tcPr>
            <w:cnfStyle w:val="001000000000"/>
            <w:tcW w:w="3096" w:type="dxa"/>
            <w:vAlign w:val="center"/>
          </w:tcPr>
          <w:p w:rsidR="000A747B" w:rsidRPr="00341836" w:rsidRDefault="000A747B" w:rsidP="00F70C69">
            <w:pPr>
              <w:jc w:val="center"/>
              <w:rPr>
                <w:rFonts w:ascii="Times New Roman" w:hAnsi="Times New Roman" w:cs="Times New Roman"/>
                <w:color w:val="F79646" w:themeColor="accent6"/>
                <w:sz w:val="24"/>
                <w:szCs w:val="24"/>
              </w:rPr>
            </w:pPr>
            <w:r w:rsidRPr="00341836">
              <w:rPr>
                <w:rFonts w:ascii="Times New Roman" w:hAnsi="Times New Roman" w:cs="Times New Roman"/>
                <w:color w:val="F79646" w:themeColor="accent6"/>
                <w:sz w:val="24"/>
                <w:szCs w:val="24"/>
              </w:rPr>
              <w:t>Skupina 2</w:t>
            </w:r>
          </w:p>
          <w:p w:rsidR="000A747B" w:rsidRPr="00341836" w:rsidRDefault="000A747B" w:rsidP="00F70C69">
            <w:pPr>
              <w:jc w:val="center"/>
              <w:rPr>
                <w:rFonts w:ascii="Times New Roman" w:hAnsi="Times New Roman" w:cs="Times New Roman"/>
                <w:b w:val="0"/>
                <w:sz w:val="24"/>
                <w:szCs w:val="24"/>
              </w:rPr>
            </w:pPr>
            <w:r w:rsidRPr="00341836">
              <w:rPr>
                <w:rFonts w:ascii="Times New Roman" w:hAnsi="Times New Roman" w:cs="Times New Roman"/>
                <w:b w:val="0"/>
                <w:sz w:val="24"/>
                <w:szCs w:val="24"/>
              </w:rPr>
              <w:t>Programske zemlje sa</w:t>
            </w:r>
          </w:p>
          <w:p w:rsidR="000A747B" w:rsidRPr="00341836" w:rsidRDefault="000A747B" w:rsidP="00F70C69">
            <w:pPr>
              <w:jc w:val="center"/>
              <w:rPr>
                <w:rFonts w:ascii="Times New Roman" w:hAnsi="Times New Roman" w:cs="Times New Roman"/>
                <w:b w:val="0"/>
                <w:sz w:val="24"/>
                <w:szCs w:val="24"/>
              </w:rPr>
            </w:pPr>
            <w:r w:rsidRPr="00341836">
              <w:rPr>
                <w:rFonts w:ascii="Times New Roman" w:hAnsi="Times New Roman" w:cs="Times New Roman"/>
                <w:b w:val="0"/>
                <w:sz w:val="24"/>
                <w:szCs w:val="24"/>
              </w:rPr>
              <w:t>srednjim troškovima</w:t>
            </w:r>
          </w:p>
          <w:p w:rsidR="000A747B" w:rsidRDefault="000A747B" w:rsidP="00F70C69">
            <w:pPr>
              <w:jc w:val="center"/>
              <w:rPr>
                <w:rFonts w:ascii="Times New Roman" w:hAnsi="Times New Roman" w:cs="Times New Roman"/>
                <w:sz w:val="24"/>
                <w:szCs w:val="24"/>
              </w:rPr>
            </w:pPr>
            <w:r w:rsidRPr="00341836">
              <w:rPr>
                <w:rFonts w:ascii="Times New Roman" w:hAnsi="Times New Roman" w:cs="Times New Roman"/>
                <w:b w:val="0"/>
                <w:sz w:val="24"/>
                <w:szCs w:val="24"/>
              </w:rPr>
              <w:t>života</w:t>
            </w:r>
          </w:p>
        </w:tc>
        <w:tc>
          <w:tcPr>
            <w:tcW w:w="3096" w:type="dxa"/>
            <w:vAlign w:val="center"/>
          </w:tcPr>
          <w:p w:rsidR="000A747B" w:rsidRPr="00341836" w:rsidRDefault="000A747B" w:rsidP="00F70C69">
            <w:pPr>
              <w:jc w:val="center"/>
              <w:cnfStyle w:val="000000000000"/>
              <w:rPr>
                <w:rFonts w:ascii="Times New Roman" w:hAnsi="Times New Roman" w:cs="Times New Roman"/>
                <w:sz w:val="24"/>
                <w:szCs w:val="24"/>
              </w:rPr>
            </w:pPr>
            <w:r w:rsidRPr="00341836">
              <w:rPr>
                <w:rFonts w:ascii="Times New Roman" w:hAnsi="Times New Roman" w:cs="Times New Roman"/>
                <w:sz w:val="24"/>
                <w:szCs w:val="24"/>
              </w:rPr>
              <w:t>Austrija, Belgija, Njemačka,</w:t>
            </w:r>
          </w:p>
          <w:p w:rsidR="000A747B" w:rsidRPr="00341836" w:rsidRDefault="000A747B" w:rsidP="00F70C69">
            <w:pPr>
              <w:jc w:val="center"/>
              <w:cnfStyle w:val="000000000000"/>
              <w:rPr>
                <w:rFonts w:ascii="Times New Roman" w:hAnsi="Times New Roman" w:cs="Times New Roman"/>
                <w:sz w:val="24"/>
                <w:szCs w:val="24"/>
              </w:rPr>
            </w:pPr>
            <w:r w:rsidRPr="00341836">
              <w:rPr>
                <w:rFonts w:ascii="Times New Roman" w:hAnsi="Times New Roman" w:cs="Times New Roman"/>
                <w:sz w:val="24"/>
                <w:szCs w:val="24"/>
              </w:rPr>
              <w:t>Francuska, Italija, Grčka,</w:t>
            </w:r>
          </w:p>
          <w:p w:rsidR="000A747B" w:rsidRPr="00341836" w:rsidRDefault="000A747B" w:rsidP="00F70C69">
            <w:pPr>
              <w:jc w:val="center"/>
              <w:cnfStyle w:val="000000000000"/>
              <w:rPr>
                <w:rFonts w:ascii="Times New Roman" w:hAnsi="Times New Roman" w:cs="Times New Roman"/>
                <w:sz w:val="24"/>
                <w:szCs w:val="24"/>
              </w:rPr>
            </w:pPr>
            <w:r w:rsidRPr="00341836">
              <w:rPr>
                <w:rFonts w:ascii="Times New Roman" w:hAnsi="Times New Roman" w:cs="Times New Roman"/>
                <w:sz w:val="24"/>
                <w:szCs w:val="24"/>
              </w:rPr>
              <w:t>Španjolska, Cipar, Nizozemska,</w:t>
            </w:r>
          </w:p>
          <w:p w:rsidR="000A747B" w:rsidRDefault="000A747B" w:rsidP="00F70C69">
            <w:pPr>
              <w:jc w:val="center"/>
              <w:cnfStyle w:val="000000000000"/>
              <w:rPr>
                <w:rFonts w:ascii="Times New Roman" w:hAnsi="Times New Roman" w:cs="Times New Roman"/>
                <w:sz w:val="24"/>
                <w:szCs w:val="24"/>
              </w:rPr>
            </w:pPr>
            <w:r w:rsidRPr="00341836">
              <w:rPr>
                <w:rFonts w:ascii="Times New Roman" w:hAnsi="Times New Roman" w:cs="Times New Roman"/>
                <w:sz w:val="24"/>
                <w:szCs w:val="24"/>
              </w:rPr>
              <w:t>Malta, Portugal</w:t>
            </w:r>
          </w:p>
        </w:tc>
        <w:tc>
          <w:tcPr>
            <w:tcW w:w="3096" w:type="dxa"/>
            <w:vAlign w:val="center"/>
          </w:tcPr>
          <w:p w:rsidR="000A747B" w:rsidRDefault="000A747B" w:rsidP="00F70C69">
            <w:pPr>
              <w:jc w:val="center"/>
              <w:cnfStyle w:val="000000000000"/>
              <w:rPr>
                <w:rFonts w:ascii="Times New Roman" w:hAnsi="Times New Roman" w:cs="Times New Roman"/>
                <w:sz w:val="24"/>
                <w:szCs w:val="24"/>
              </w:rPr>
            </w:pPr>
            <w:r>
              <w:rPr>
                <w:rFonts w:ascii="Times New Roman" w:hAnsi="Times New Roman" w:cs="Times New Roman"/>
                <w:sz w:val="24"/>
                <w:szCs w:val="24"/>
              </w:rPr>
              <w:t>55</w:t>
            </w:r>
            <w:r w:rsidRPr="00341836">
              <w:rPr>
                <w:rFonts w:ascii="Times New Roman" w:hAnsi="Times New Roman" w:cs="Times New Roman"/>
                <w:sz w:val="24"/>
                <w:szCs w:val="24"/>
              </w:rPr>
              <w:t>0 EUR</w:t>
            </w:r>
          </w:p>
        </w:tc>
      </w:tr>
      <w:tr w:rsidR="000A747B" w:rsidTr="00F70C69">
        <w:trPr>
          <w:cnfStyle w:val="000000100000"/>
          <w:trHeight w:val="1932"/>
        </w:trPr>
        <w:tc>
          <w:tcPr>
            <w:cnfStyle w:val="001000000000"/>
            <w:tcW w:w="3096" w:type="dxa"/>
            <w:tcBorders>
              <w:top w:val="none" w:sz="0" w:space="0" w:color="auto"/>
              <w:left w:val="none" w:sz="0" w:space="0" w:color="auto"/>
              <w:bottom w:val="none" w:sz="0" w:space="0" w:color="auto"/>
            </w:tcBorders>
            <w:vAlign w:val="center"/>
          </w:tcPr>
          <w:p w:rsidR="000A747B" w:rsidRPr="00341836" w:rsidRDefault="000A747B" w:rsidP="00F70C69">
            <w:pPr>
              <w:jc w:val="center"/>
              <w:rPr>
                <w:rFonts w:ascii="Times New Roman" w:hAnsi="Times New Roman" w:cs="Times New Roman"/>
                <w:color w:val="00B050"/>
                <w:sz w:val="24"/>
                <w:szCs w:val="24"/>
              </w:rPr>
            </w:pPr>
            <w:r w:rsidRPr="00341836">
              <w:rPr>
                <w:rFonts w:ascii="Times New Roman" w:hAnsi="Times New Roman" w:cs="Times New Roman"/>
                <w:color w:val="00B050"/>
                <w:sz w:val="24"/>
                <w:szCs w:val="24"/>
              </w:rPr>
              <w:t>Skupina 3</w:t>
            </w:r>
          </w:p>
          <w:p w:rsidR="000A747B" w:rsidRPr="00341836" w:rsidRDefault="000A747B" w:rsidP="00F70C69">
            <w:pPr>
              <w:jc w:val="center"/>
              <w:rPr>
                <w:rFonts w:ascii="Times New Roman" w:hAnsi="Times New Roman" w:cs="Times New Roman"/>
                <w:b w:val="0"/>
                <w:sz w:val="24"/>
                <w:szCs w:val="24"/>
              </w:rPr>
            </w:pPr>
            <w:r w:rsidRPr="00341836">
              <w:rPr>
                <w:rFonts w:ascii="Times New Roman" w:hAnsi="Times New Roman" w:cs="Times New Roman"/>
                <w:b w:val="0"/>
                <w:sz w:val="24"/>
                <w:szCs w:val="24"/>
              </w:rPr>
              <w:t>Programske zemlje s</w:t>
            </w:r>
          </w:p>
          <w:p w:rsidR="000A747B" w:rsidRDefault="000A747B" w:rsidP="00F70C69">
            <w:pPr>
              <w:jc w:val="center"/>
              <w:rPr>
                <w:rFonts w:ascii="Times New Roman" w:hAnsi="Times New Roman" w:cs="Times New Roman"/>
                <w:sz w:val="24"/>
                <w:szCs w:val="24"/>
              </w:rPr>
            </w:pPr>
            <w:r w:rsidRPr="00341836">
              <w:rPr>
                <w:rFonts w:ascii="Times New Roman" w:hAnsi="Times New Roman" w:cs="Times New Roman"/>
                <w:b w:val="0"/>
                <w:sz w:val="24"/>
                <w:szCs w:val="24"/>
              </w:rPr>
              <w:t>nižim troškovima života</w:t>
            </w:r>
          </w:p>
        </w:tc>
        <w:tc>
          <w:tcPr>
            <w:tcW w:w="3096" w:type="dxa"/>
            <w:tcBorders>
              <w:top w:val="none" w:sz="0" w:space="0" w:color="auto"/>
              <w:bottom w:val="none" w:sz="0" w:space="0" w:color="auto"/>
            </w:tcBorders>
            <w:vAlign w:val="center"/>
          </w:tcPr>
          <w:p w:rsidR="000A747B" w:rsidRPr="00341836" w:rsidRDefault="000A747B" w:rsidP="00F70C69">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Bugarska, Češka,</w:t>
            </w:r>
          </w:p>
          <w:p w:rsidR="000A747B" w:rsidRPr="00341836" w:rsidRDefault="000A747B" w:rsidP="00F70C69">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Estonija, Latvija, Litva, Mađarska,</w:t>
            </w:r>
          </w:p>
          <w:p w:rsidR="000A747B" w:rsidRPr="00341836" w:rsidRDefault="000A747B" w:rsidP="00F70C69">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 xml:space="preserve">Poljska, Rumunjska, </w:t>
            </w:r>
          </w:p>
          <w:p w:rsidR="000A747B" w:rsidRPr="00341836" w:rsidRDefault="000A747B" w:rsidP="00F70C69">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Slovačka, Slovenija, Makedonija,</w:t>
            </w:r>
          </w:p>
          <w:p w:rsidR="000A747B" w:rsidRDefault="000A747B" w:rsidP="00F70C69">
            <w:pPr>
              <w:jc w:val="center"/>
              <w:cnfStyle w:val="000000100000"/>
              <w:rPr>
                <w:rFonts w:ascii="Times New Roman" w:hAnsi="Times New Roman" w:cs="Times New Roman"/>
                <w:sz w:val="24"/>
                <w:szCs w:val="24"/>
              </w:rPr>
            </w:pPr>
            <w:r w:rsidRPr="00341836">
              <w:rPr>
                <w:rFonts w:ascii="Times New Roman" w:hAnsi="Times New Roman" w:cs="Times New Roman"/>
                <w:sz w:val="24"/>
                <w:szCs w:val="24"/>
              </w:rPr>
              <w:t>Turska</w:t>
            </w:r>
          </w:p>
        </w:tc>
        <w:tc>
          <w:tcPr>
            <w:tcW w:w="3096" w:type="dxa"/>
            <w:tcBorders>
              <w:top w:val="none" w:sz="0" w:space="0" w:color="auto"/>
              <w:bottom w:val="none" w:sz="0" w:space="0" w:color="auto"/>
              <w:right w:val="none" w:sz="0" w:space="0" w:color="auto"/>
            </w:tcBorders>
            <w:vAlign w:val="center"/>
          </w:tcPr>
          <w:p w:rsidR="000A747B" w:rsidRDefault="000A747B" w:rsidP="00F70C69">
            <w:pPr>
              <w:jc w:val="center"/>
              <w:cnfStyle w:val="000000100000"/>
              <w:rPr>
                <w:rFonts w:ascii="Times New Roman" w:hAnsi="Times New Roman" w:cs="Times New Roman"/>
                <w:sz w:val="24"/>
                <w:szCs w:val="24"/>
              </w:rPr>
            </w:pPr>
            <w:r>
              <w:rPr>
                <w:rFonts w:ascii="Times New Roman" w:hAnsi="Times New Roman" w:cs="Times New Roman"/>
                <w:sz w:val="24"/>
                <w:szCs w:val="24"/>
              </w:rPr>
              <w:t>50</w:t>
            </w:r>
            <w:r w:rsidRPr="00341836">
              <w:rPr>
                <w:rFonts w:ascii="Times New Roman" w:hAnsi="Times New Roman" w:cs="Times New Roman"/>
                <w:sz w:val="24"/>
                <w:szCs w:val="24"/>
              </w:rPr>
              <w:t>0 EUR</w:t>
            </w:r>
          </w:p>
        </w:tc>
      </w:tr>
    </w:tbl>
    <w:p w:rsidR="000A747B" w:rsidRDefault="000A747B" w:rsidP="000A747B">
      <w:pPr>
        <w:spacing w:after="0"/>
        <w:jc w:val="both"/>
        <w:rPr>
          <w:rFonts w:ascii="Times New Roman" w:hAnsi="Times New Roman" w:cs="Times New Roman"/>
          <w:sz w:val="24"/>
          <w:szCs w:val="24"/>
        </w:rPr>
      </w:pPr>
    </w:p>
    <w:p w:rsidR="000A747B" w:rsidRDefault="000A747B" w:rsidP="000A747B">
      <w:pPr>
        <w:spacing w:after="0"/>
        <w:rPr>
          <w:rFonts w:ascii="Times New Roman" w:hAnsi="Times New Roman" w:cs="Times New Roman"/>
          <w:sz w:val="24"/>
          <w:szCs w:val="24"/>
        </w:rPr>
      </w:pPr>
      <w:r w:rsidRPr="005F103D">
        <w:rPr>
          <w:rFonts w:ascii="Times New Roman" w:hAnsi="Times New Roman" w:cs="Times New Roman"/>
          <w:sz w:val="24"/>
          <w:szCs w:val="24"/>
        </w:rPr>
        <w:t xml:space="preserve">Izračun se vrši prema datumima na potvrdama </w:t>
      </w:r>
      <w:proofErr w:type="spellStart"/>
      <w:r w:rsidRPr="005F103D">
        <w:rPr>
          <w:rFonts w:ascii="Times New Roman" w:hAnsi="Times New Roman" w:cs="Times New Roman"/>
          <w:sz w:val="24"/>
          <w:szCs w:val="24"/>
        </w:rPr>
        <w:t>Letter</w:t>
      </w:r>
      <w:proofErr w:type="spellEnd"/>
      <w:r w:rsidRPr="005F103D">
        <w:rPr>
          <w:rFonts w:ascii="Times New Roman" w:hAnsi="Times New Roman" w:cs="Times New Roman"/>
          <w:sz w:val="24"/>
          <w:szCs w:val="24"/>
        </w:rPr>
        <w:t xml:space="preserve"> </w:t>
      </w:r>
      <w:proofErr w:type="spellStart"/>
      <w:r w:rsidRPr="005F103D">
        <w:rPr>
          <w:rFonts w:ascii="Times New Roman" w:hAnsi="Times New Roman" w:cs="Times New Roman"/>
          <w:sz w:val="24"/>
          <w:szCs w:val="24"/>
        </w:rPr>
        <w:t>of</w:t>
      </w:r>
      <w:proofErr w:type="spellEnd"/>
      <w:r w:rsidRPr="005F103D">
        <w:rPr>
          <w:rFonts w:ascii="Times New Roman" w:hAnsi="Times New Roman" w:cs="Times New Roman"/>
          <w:sz w:val="24"/>
          <w:szCs w:val="24"/>
        </w:rPr>
        <w:t xml:space="preserve"> </w:t>
      </w:r>
      <w:proofErr w:type="spellStart"/>
      <w:r w:rsidRPr="005F103D">
        <w:rPr>
          <w:rFonts w:ascii="Times New Roman" w:hAnsi="Times New Roman" w:cs="Times New Roman"/>
          <w:sz w:val="24"/>
          <w:szCs w:val="24"/>
        </w:rPr>
        <w:t>Confirmation</w:t>
      </w:r>
      <w:proofErr w:type="spellEnd"/>
      <w:r w:rsidRPr="005F103D">
        <w:rPr>
          <w:rFonts w:ascii="Times New Roman" w:hAnsi="Times New Roman" w:cs="Times New Roman"/>
          <w:sz w:val="24"/>
          <w:szCs w:val="24"/>
        </w:rPr>
        <w:t xml:space="preserve"> (prije početka stručne prakse) i </w:t>
      </w:r>
      <w:proofErr w:type="spellStart"/>
      <w:r w:rsidRPr="005F103D">
        <w:rPr>
          <w:rFonts w:ascii="Times New Roman" w:hAnsi="Times New Roman" w:cs="Times New Roman"/>
          <w:sz w:val="24"/>
          <w:szCs w:val="24"/>
        </w:rPr>
        <w:t>Statement</w:t>
      </w:r>
      <w:proofErr w:type="spellEnd"/>
      <w:r w:rsidRPr="005F103D">
        <w:rPr>
          <w:rFonts w:ascii="Times New Roman" w:hAnsi="Times New Roman" w:cs="Times New Roman"/>
          <w:sz w:val="24"/>
          <w:szCs w:val="24"/>
        </w:rPr>
        <w:t xml:space="preserve"> </w:t>
      </w:r>
      <w:proofErr w:type="spellStart"/>
      <w:r w:rsidRPr="005F103D">
        <w:rPr>
          <w:rFonts w:ascii="Times New Roman" w:hAnsi="Times New Roman" w:cs="Times New Roman"/>
          <w:sz w:val="24"/>
          <w:szCs w:val="24"/>
        </w:rPr>
        <w:t>of</w:t>
      </w:r>
      <w:proofErr w:type="spellEnd"/>
      <w:r w:rsidRPr="005F103D">
        <w:rPr>
          <w:rFonts w:ascii="Times New Roman" w:hAnsi="Times New Roman" w:cs="Times New Roman"/>
          <w:sz w:val="24"/>
          <w:szCs w:val="24"/>
        </w:rPr>
        <w:t xml:space="preserve"> </w:t>
      </w:r>
      <w:proofErr w:type="spellStart"/>
      <w:r w:rsidRPr="005F103D">
        <w:rPr>
          <w:rFonts w:ascii="Times New Roman" w:hAnsi="Times New Roman" w:cs="Times New Roman"/>
          <w:sz w:val="24"/>
          <w:szCs w:val="24"/>
        </w:rPr>
        <w:t>Host</w:t>
      </w:r>
      <w:proofErr w:type="spellEnd"/>
      <w:r w:rsidRPr="005F103D">
        <w:rPr>
          <w:rFonts w:ascii="Times New Roman" w:hAnsi="Times New Roman" w:cs="Times New Roman"/>
          <w:sz w:val="24"/>
          <w:szCs w:val="24"/>
        </w:rPr>
        <w:t xml:space="preserve"> </w:t>
      </w:r>
      <w:proofErr w:type="spellStart"/>
      <w:r w:rsidRPr="005F103D">
        <w:rPr>
          <w:rFonts w:ascii="Times New Roman" w:hAnsi="Times New Roman" w:cs="Times New Roman"/>
          <w:sz w:val="24"/>
          <w:szCs w:val="24"/>
        </w:rPr>
        <w:t>Institution</w:t>
      </w:r>
      <w:proofErr w:type="spellEnd"/>
      <w:r w:rsidRPr="005F103D">
        <w:rPr>
          <w:rFonts w:ascii="Times New Roman" w:hAnsi="Times New Roman" w:cs="Times New Roman"/>
          <w:sz w:val="24"/>
          <w:szCs w:val="24"/>
        </w:rPr>
        <w:t xml:space="preserve"> koje nakon stručne prakse izdaje inozemna institucija, boravak uključuje i radne dane i vikend i ovaj dokument je relevantan za trajanje mobilnosti u slučaju nedoumice.</w:t>
      </w:r>
    </w:p>
    <w:p w:rsidR="000A747B" w:rsidRDefault="000A747B" w:rsidP="000A747B">
      <w:pPr>
        <w:rPr>
          <w:rFonts w:ascii="Times New Roman" w:hAnsi="Times New Roman" w:cs="Times New Roman"/>
          <w:sz w:val="24"/>
          <w:szCs w:val="24"/>
        </w:rPr>
      </w:pPr>
    </w:p>
    <w:p w:rsidR="000A747B" w:rsidRPr="005F103D" w:rsidRDefault="000A747B" w:rsidP="000A747B">
      <w:pPr>
        <w:rPr>
          <w:rFonts w:ascii="Times New Roman" w:hAnsi="Times New Roman" w:cs="Times New Roman"/>
          <w:sz w:val="24"/>
          <w:szCs w:val="24"/>
        </w:rPr>
      </w:pPr>
      <w:r w:rsidRPr="005F103D">
        <w:rPr>
          <w:rFonts w:ascii="Times New Roman" w:hAnsi="Times New Roman" w:cs="Times New Roman"/>
          <w:sz w:val="24"/>
          <w:szCs w:val="24"/>
        </w:rPr>
        <w:t>Financijska potpora isplaćuje se na način: 80% prije odlaska a 20% nakon povratka i dostave valjane dokumentacije.</w:t>
      </w:r>
    </w:p>
    <w:p w:rsidR="005F103D" w:rsidRPr="005F103D" w:rsidRDefault="005F103D" w:rsidP="005F103D">
      <w:pPr>
        <w:spacing w:after="0"/>
        <w:rPr>
          <w:rFonts w:ascii="Times New Roman" w:hAnsi="Times New Roman" w:cs="Times New Roman"/>
          <w:sz w:val="24"/>
          <w:szCs w:val="24"/>
        </w:rPr>
      </w:pPr>
    </w:p>
    <w:p w:rsidR="000A747B" w:rsidRDefault="000A747B" w:rsidP="005F103D">
      <w:pPr>
        <w:spacing w:after="0"/>
        <w:rPr>
          <w:rFonts w:ascii="Times New Roman" w:hAnsi="Times New Roman" w:cs="Times New Roman"/>
          <w:color w:val="4F81BD" w:themeColor="accent1"/>
          <w:sz w:val="32"/>
          <w:szCs w:val="32"/>
        </w:rPr>
      </w:pPr>
    </w:p>
    <w:p w:rsidR="005F103D" w:rsidRPr="005F103D" w:rsidRDefault="005F103D" w:rsidP="005F103D">
      <w:pPr>
        <w:spacing w:after="0"/>
        <w:rPr>
          <w:rFonts w:ascii="Times New Roman" w:hAnsi="Times New Roman" w:cs="Times New Roman"/>
          <w:color w:val="4F81BD" w:themeColor="accent1"/>
          <w:sz w:val="32"/>
          <w:szCs w:val="32"/>
        </w:rPr>
      </w:pPr>
      <w:r w:rsidRPr="005F103D">
        <w:rPr>
          <w:rFonts w:ascii="Times New Roman" w:hAnsi="Times New Roman" w:cs="Times New Roman"/>
          <w:color w:val="4F81BD" w:themeColor="accent1"/>
          <w:sz w:val="32"/>
          <w:szCs w:val="32"/>
        </w:rPr>
        <w:t>Školarine</w:t>
      </w:r>
    </w:p>
    <w:p w:rsidR="005F103D" w:rsidRPr="005F103D" w:rsidRDefault="005F103D" w:rsidP="005F103D">
      <w:pPr>
        <w:spacing w:after="0"/>
        <w:jc w:val="both"/>
        <w:rPr>
          <w:rFonts w:ascii="Times New Roman" w:hAnsi="Times New Roman" w:cs="Times New Roman"/>
          <w:sz w:val="24"/>
          <w:szCs w:val="24"/>
        </w:rPr>
      </w:pPr>
      <w:r w:rsidRPr="005F103D">
        <w:rPr>
          <w:rFonts w:ascii="Times New Roman" w:hAnsi="Times New Roman" w:cs="Times New Roman"/>
          <w:sz w:val="24"/>
          <w:szCs w:val="24"/>
        </w:rPr>
        <w:t>Studenti ostaju upisani na svoje matično visoko učilište za vrijeme trajanja razdoblja mobilnosti i dužni su nastaviti plaćati školarinu ukoliko spadaju u kategoriju studenata koji sami financiraju svoj studij.</w:t>
      </w:r>
    </w:p>
    <w:p w:rsidR="005F103D" w:rsidRPr="005F103D" w:rsidRDefault="005F103D" w:rsidP="005F103D">
      <w:pPr>
        <w:spacing w:after="0"/>
        <w:rPr>
          <w:rFonts w:ascii="Times New Roman" w:hAnsi="Times New Roman" w:cs="Times New Roman"/>
          <w:sz w:val="24"/>
          <w:szCs w:val="24"/>
        </w:rPr>
      </w:pPr>
    </w:p>
    <w:p w:rsidR="000A747B" w:rsidRDefault="000A747B" w:rsidP="005F103D">
      <w:pPr>
        <w:spacing w:after="0"/>
        <w:rPr>
          <w:rFonts w:ascii="Times New Roman" w:hAnsi="Times New Roman" w:cs="Times New Roman"/>
          <w:color w:val="4F81BD" w:themeColor="accent1"/>
          <w:sz w:val="32"/>
          <w:szCs w:val="32"/>
        </w:rPr>
      </w:pPr>
    </w:p>
    <w:p w:rsidR="000A747B" w:rsidRDefault="000A747B" w:rsidP="005F103D">
      <w:pPr>
        <w:spacing w:after="0"/>
        <w:rPr>
          <w:rFonts w:ascii="Times New Roman" w:hAnsi="Times New Roman" w:cs="Times New Roman"/>
          <w:color w:val="4F81BD" w:themeColor="accent1"/>
          <w:sz w:val="32"/>
          <w:szCs w:val="32"/>
        </w:rPr>
      </w:pPr>
    </w:p>
    <w:p w:rsidR="005F103D" w:rsidRPr="005F103D" w:rsidRDefault="005F103D" w:rsidP="005F103D">
      <w:pPr>
        <w:spacing w:after="0"/>
        <w:rPr>
          <w:rFonts w:ascii="Times New Roman" w:hAnsi="Times New Roman" w:cs="Times New Roman"/>
          <w:color w:val="4F81BD" w:themeColor="accent1"/>
          <w:sz w:val="32"/>
          <w:szCs w:val="32"/>
        </w:rPr>
      </w:pPr>
      <w:proofErr w:type="spellStart"/>
      <w:r w:rsidRPr="005F103D">
        <w:rPr>
          <w:rFonts w:ascii="Times New Roman" w:hAnsi="Times New Roman" w:cs="Times New Roman"/>
          <w:color w:val="4F81BD" w:themeColor="accent1"/>
          <w:sz w:val="32"/>
          <w:szCs w:val="32"/>
        </w:rPr>
        <w:lastRenderedPageBreak/>
        <w:t>Erasmus</w:t>
      </w:r>
      <w:proofErr w:type="spellEnd"/>
      <w:r w:rsidRPr="005F103D">
        <w:rPr>
          <w:rFonts w:ascii="Times New Roman" w:hAnsi="Times New Roman" w:cs="Times New Roman"/>
          <w:color w:val="4F81BD" w:themeColor="accent1"/>
          <w:sz w:val="32"/>
          <w:szCs w:val="32"/>
        </w:rPr>
        <w:t xml:space="preserve"> studenti bez financijske potpore (zero-grant </w:t>
      </w:r>
      <w:proofErr w:type="spellStart"/>
      <w:r w:rsidRPr="005F103D">
        <w:rPr>
          <w:rFonts w:ascii="Times New Roman" w:hAnsi="Times New Roman" w:cs="Times New Roman"/>
          <w:color w:val="4F81BD" w:themeColor="accent1"/>
          <w:sz w:val="32"/>
          <w:szCs w:val="32"/>
        </w:rPr>
        <w:t>students</w:t>
      </w:r>
      <w:proofErr w:type="spellEnd"/>
      <w:r w:rsidRPr="005F103D">
        <w:rPr>
          <w:rFonts w:ascii="Times New Roman" w:hAnsi="Times New Roman" w:cs="Times New Roman"/>
          <w:color w:val="4F81BD" w:themeColor="accent1"/>
          <w:sz w:val="32"/>
          <w:szCs w:val="32"/>
        </w:rPr>
        <w:t>)</w:t>
      </w:r>
    </w:p>
    <w:p w:rsidR="005F103D" w:rsidRPr="005F103D" w:rsidRDefault="005F103D" w:rsidP="005F103D">
      <w:pPr>
        <w:spacing w:after="0"/>
        <w:jc w:val="both"/>
        <w:rPr>
          <w:rFonts w:ascii="Times New Roman" w:hAnsi="Times New Roman" w:cs="Times New Roman"/>
          <w:sz w:val="24"/>
          <w:szCs w:val="24"/>
        </w:rPr>
      </w:pPr>
      <w:r w:rsidRPr="005F103D">
        <w:rPr>
          <w:rFonts w:ascii="Times New Roman" w:hAnsi="Times New Roman" w:cs="Times New Roman"/>
          <w:sz w:val="24"/>
          <w:szCs w:val="24"/>
        </w:rPr>
        <w:t xml:space="preserve">Ovaj pojam odnosi se na studente koji imaju status </w:t>
      </w:r>
      <w:proofErr w:type="spellStart"/>
      <w:r w:rsidRPr="005F103D">
        <w:rPr>
          <w:rFonts w:ascii="Times New Roman" w:hAnsi="Times New Roman" w:cs="Times New Roman"/>
          <w:sz w:val="24"/>
          <w:szCs w:val="24"/>
        </w:rPr>
        <w:t>Erasmus</w:t>
      </w:r>
      <w:proofErr w:type="spellEnd"/>
      <w:r w:rsidRPr="005F103D">
        <w:rPr>
          <w:rFonts w:ascii="Times New Roman" w:hAnsi="Times New Roman" w:cs="Times New Roman"/>
          <w:sz w:val="24"/>
          <w:szCs w:val="24"/>
        </w:rPr>
        <w:t>+ studenta jer udovoljavaju svim potrebnim uvjetima, ali ne primaju financijsku potporu jer su se iskoristila raspoloživa sredstva prije kraja natječaja.</w:t>
      </w:r>
    </w:p>
    <w:p w:rsidR="005F103D" w:rsidRPr="005F103D" w:rsidRDefault="005F103D" w:rsidP="005F103D">
      <w:pPr>
        <w:spacing w:after="0"/>
        <w:rPr>
          <w:rFonts w:ascii="Times New Roman" w:hAnsi="Times New Roman" w:cs="Times New Roman"/>
          <w:sz w:val="24"/>
          <w:szCs w:val="24"/>
        </w:rPr>
      </w:pPr>
    </w:p>
    <w:p w:rsidR="000A747B" w:rsidRDefault="000A747B" w:rsidP="000A747B">
      <w:pPr>
        <w:spacing w:after="0"/>
        <w:rPr>
          <w:rFonts w:ascii="Times New Roman" w:hAnsi="Times New Roman" w:cs="Times New Roman"/>
          <w:color w:val="4F81BD" w:themeColor="accent1"/>
          <w:sz w:val="32"/>
          <w:szCs w:val="32"/>
        </w:rPr>
      </w:pPr>
    </w:p>
    <w:p w:rsidR="000A747B" w:rsidRDefault="000A747B" w:rsidP="000A747B">
      <w:pPr>
        <w:spacing w:after="0"/>
        <w:rPr>
          <w:rFonts w:ascii="Times New Roman" w:hAnsi="Times New Roman" w:cs="Times New Roman"/>
          <w:color w:val="4F81BD" w:themeColor="accent1"/>
          <w:sz w:val="32"/>
          <w:szCs w:val="32"/>
        </w:rPr>
      </w:pPr>
      <w:r w:rsidRPr="000A747B">
        <w:rPr>
          <w:rFonts w:ascii="Times New Roman" w:hAnsi="Times New Roman" w:cs="Times New Roman"/>
          <w:color w:val="4F81BD" w:themeColor="accent1"/>
          <w:sz w:val="32"/>
          <w:szCs w:val="32"/>
        </w:rPr>
        <w:t>Studenti slabijeg socioekonomskog statusa</w:t>
      </w:r>
    </w:p>
    <w:p w:rsidR="000A747B" w:rsidRPr="000A747B" w:rsidRDefault="000A747B" w:rsidP="000A747B">
      <w:pPr>
        <w:spacing w:after="0"/>
        <w:rPr>
          <w:rFonts w:ascii="Times New Roman" w:hAnsi="Times New Roman" w:cs="Times New Roman"/>
          <w:color w:val="4F81BD" w:themeColor="accent1"/>
          <w:sz w:val="32"/>
          <w:szCs w:val="32"/>
        </w:rPr>
      </w:pPr>
      <w:r w:rsidRPr="000A747B">
        <w:rPr>
          <w:rFonts w:ascii="Times New Roman" w:hAnsi="Times New Roman" w:cs="Times New Roman"/>
          <w:sz w:val="24"/>
          <w:szCs w:val="24"/>
        </w:rPr>
        <w:t xml:space="preserve">Studenti slabijeg socioekonomskog statusa imaju mogućnost dobiti dodatna financijska sredstva u iznosu od 100 EUR za odlazak na mobilnost. </w:t>
      </w:r>
    </w:p>
    <w:p w:rsidR="000A747B" w:rsidRPr="000A747B" w:rsidRDefault="000A747B" w:rsidP="000A747B">
      <w:pPr>
        <w:jc w:val="both"/>
        <w:rPr>
          <w:rFonts w:ascii="Times New Roman" w:hAnsi="Times New Roman" w:cs="Times New Roman"/>
          <w:sz w:val="24"/>
          <w:szCs w:val="24"/>
        </w:rPr>
      </w:pPr>
      <w:r w:rsidRPr="000A747B">
        <w:rPr>
          <w:rFonts w:ascii="Times New Roman" w:hAnsi="Times New Roman" w:cs="Times New Roman"/>
          <w:sz w:val="24"/>
          <w:szCs w:val="24"/>
        </w:rPr>
        <w:t>Pri odabiru studenata koji zadovoljavaju kriterije za dodatnu potporu za studente slabijeg socioekonomskog statusa, u izračun prosječnog mjesečnog prihoda po članu zajedničkog kućanstva uračunava se i oporezivi i neoporezivi dohodak (prihod) prethodne godine.</w:t>
      </w:r>
    </w:p>
    <w:p w:rsidR="000A747B" w:rsidRDefault="000A747B" w:rsidP="000A747B">
      <w:pPr>
        <w:jc w:val="both"/>
        <w:rPr>
          <w:rFonts w:ascii="Times New Roman" w:hAnsi="Times New Roman" w:cs="Times New Roman"/>
          <w:sz w:val="24"/>
          <w:szCs w:val="24"/>
        </w:rPr>
      </w:pPr>
      <w:r w:rsidRPr="000A747B">
        <w:rPr>
          <w:rFonts w:ascii="Times New Roman" w:hAnsi="Times New Roman" w:cs="Times New Roman"/>
          <w:sz w:val="24"/>
          <w:szCs w:val="24"/>
        </w:rPr>
        <w:t xml:space="preserve">Popis svih neoporezivih dohodaka je dostupan na poveznici </w:t>
      </w:r>
      <w:hyperlink r:id="rId5" w:history="1">
        <w:r w:rsidRPr="00E55A4D">
          <w:rPr>
            <w:rStyle w:val="Hiperveza"/>
            <w:rFonts w:ascii="Times New Roman" w:hAnsi="Times New Roman" w:cs="Times New Roman"/>
            <w:sz w:val="24"/>
            <w:szCs w:val="24"/>
          </w:rPr>
          <w:t>http://www.zakon.hr/z/85/Zakon-o-porezu-na-dohodak</w:t>
        </w:r>
      </w:hyperlink>
    </w:p>
    <w:p w:rsidR="000A747B" w:rsidRDefault="000A747B" w:rsidP="005F103D">
      <w:pPr>
        <w:spacing w:after="0"/>
        <w:rPr>
          <w:rFonts w:ascii="Times New Roman" w:hAnsi="Times New Roman" w:cs="Times New Roman"/>
          <w:sz w:val="24"/>
          <w:szCs w:val="24"/>
        </w:rPr>
      </w:pPr>
    </w:p>
    <w:p w:rsidR="000A747B" w:rsidRDefault="000A747B" w:rsidP="005F103D">
      <w:pPr>
        <w:spacing w:after="0"/>
        <w:rPr>
          <w:rFonts w:ascii="Times New Roman" w:hAnsi="Times New Roman" w:cs="Times New Roman"/>
          <w:color w:val="4F81BD" w:themeColor="accent1"/>
          <w:sz w:val="32"/>
          <w:szCs w:val="32"/>
        </w:rPr>
      </w:pPr>
    </w:p>
    <w:p w:rsidR="000A747B" w:rsidRPr="000A747B" w:rsidRDefault="000A747B" w:rsidP="005F103D">
      <w:pPr>
        <w:spacing w:after="0"/>
        <w:rPr>
          <w:rFonts w:ascii="Times New Roman" w:hAnsi="Times New Roman" w:cs="Times New Roman"/>
          <w:color w:val="4F81BD" w:themeColor="accent1"/>
          <w:sz w:val="32"/>
          <w:szCs w:val="32"/>
        </w:rPr>
      </w:pPr>
      <w:r w:rsidRPr="000A747B">
        <w:rPr>
          <w:rFonts w:ascii="Times New Roman" w:hAnsi="Times New Roman" w:cs="Times New Roman"/>
          <w:color w:val="4F81BD" w:themeColor="accent1"/>
          <w:sz w:val="32"/>
          <w:szCs w:val="32"/>
        </w:rPr>
        <w:t>Jezične pripreme</w:t>
      </w:r>
    </w:p>
    <w:p w:rsidR="000A747B" w:rsidRPr="000A747B" w:rsidRDefault="000A747B" w:rsidP="000A747B">
      <w:pPr>
        <w:spacing w:after="0"/>
        <w:jc w:val="both"/>
        <w:rPr>
          <w:rFonts w:ascii="Times New Roman" w:hAnsi="Times New Roman" w:cs="Times New Roman"/>
          <w:sz w:val="24"/>
          <w:szCs w:val="24"/>
        </w:rPr>
      </w:pPr>
      <w:r w:rsidRPr="000A747B">
        <w:rPr>
          <w:rFonts w:ascii="Times New Roman" w:hAnsi="Times New Roman" w:cs="Times New Roman"/>
          <w:sz w:val="24"/>
          <w:szCs w:val="24"/>
        </w:rPr>
        <w:t xml:space="preserve">Određene inozemne institucije zahtijevaju potvrde o znanju stranog jezika za </w:t>
      </w:r>
      <w:proofErr w:type="spellStart"/>
      <w:r w:rsidRPr="000A747B">
        <w:rPr>
          <w:rFonts w:ascii="Times New Roman" w:hAnsi="Times New Roman" w:cs="Times New Roman"/>
          <w:sz w:val="24"/>
          <w:szCs w:val="24"/>
        </w:rPr>
        <w:t>Erasmus</w:t>
      </w:r>
      <w:proofErr w:type="spellEnd"/>
      <w:r w:rsidRPr="000A747B">
        <w:rPr>
          <w:rFonts w:ascii="Times New Roman" w:hAnsi="Times New Roman" w:cs="Times New Roman"/>
          <w:sz w:val="24"/>
          <w:szCs w:val="24"/>
        </w:rPr>
        <w:t>+ studente. Uglavnom se radi o engleskom, a nerijetko i jeziku države u koju se dolazi. Studenti su se dužni informirati o jezičnim kompetencijama koje prihvatna ustanova zahtijeva. Uredu za međunarodnu suradnju je, na zahtjev, prije mobilnosti potrebno priložiti i potvrdu o znanju određenog stranog jezika.</w:t>
      </w:r>
    </w:p>
    <w:p w:rsidR="000A747B" w:rsidRPr="000A747B" w:rsidRDefault="000A747B" w:rsidP="000A747B">
      <w:pPr>
        <w:spacing w:after="0"/>
        <w:jc w:val="both"/>
        <w:rPr>
          <w:rFonts w:ascii="Times New Roman" w:hAnsi="Times New Roman" w:cs="Times New Roman"/>
          <w:sz w:val="24"/>
          <w:szCs w:val="24"/>
        </w:rPr>
      </w:pPr>
    </w:p>
    <w:p w:rsidR="000A747B" w:rsidRPr="000A747B" w:rsidRDefault="000A747B" w:rsidP="000A747B">
      <w:pPr>
        <w:spacing w:after="0"/>
        <w:jc w:val="both"/>
        <w:rPr>
          <w:rFonts w:ascii="Times New Roman" w:hAnsi="Times New Roman" w:cs="Times New Roman"/>
          <w:sz w:val="24"/>
          <w:szCs w:val="24"/>
        </w:rPr>
      </w:pPr>
      <w:r w:rsidRPr="000A747B">
        <w:rPr>
          <w:rFonts w:ascii="Times New Roman" w:hAnsi="Times New Roman" w:cs="Times New Roman"/>
          <w:sz w:val="24"/>
          <w:szCs w:val="24"/>
        </w:rPr>
        <w:t xml:space="preserve">Svi studenti kojima je radni jezik mobilnosti engleski, francuski, njemački, talijanski, španjolski ili nizozemski, obvezni su prije odlaska i po povratku s mobilnosti pisati </w:t>
      </w:r>
      <w:proofErr w:type="spellStart"/>
      <w:r w:rsidRPr="000A747B">
        <w:rPr>
          <w:rFonts w:ascii="Times New Roman" w:hAnsi="Times New Roman" w:cs="Times New Roman"/>
          <w:sz w:val="24"/>
          <w:szCs w:val="24"/>
        </w:rPr>
        <w:t>online</w:t>
      </w:r>
      <w:proofErr w:type="spellEnd"/>
      <w:r w:rsidRPr="000A747B">
        <w:rPr>
          <w:rFonts w:ascii="Times New Roman" w:hAnsi="Times New Roman" w:cs="Times New Roman"/>
          <w:sz w:val="24"/>
          <w:szCs w:val="24"/>
        </w:rPr>
        <w:t xml:space="preserve"> test procjene jezičnih kompetencija (osim ako im je jezik mobilnosti materinski). Rezultati </w:t>
      </w:r>
      <w:proofErr w:type="spellStart"/>
      <w:r w:rsidRPr="000A747B">
        <w:rPr>
          <w:rFonts w:ascii="Times New Roman" w:hAnsi="Times New Roman" w:cs="Times New Roman"/>
          <w:sz w:val="24"/>
          <w:szCs w:val="24"/>
        </w:rPr>
        <w:t>online</w:t>
      </w:r>
      <w:proofErr w:type="spellEnd"/>
      <w:r w:rsidRPr="000A747B">
        <w:rPr>
          <w:rFonts w:ascii="Times New Roman" w:hAnsi="Times New Roman" w:cs="Times New Roman"/>
          <w:sz w:val="24"/>
          <w:szCs w:val="24"/>
        </w:rPr>
        <w:t xml:space="preserve"> jezične procjene nisu uvjet za odlazak na mobilnost, a na uvid ih imaju student i matično visoko učilište.</w:t>
      </w:r>
    </w:p>
    <w:p w:rsidR="000A747B" w:rsidRPr="000A747B" w:rsidRDefault="000A747B" w:rsidP="000A747B">
      <w:pPr>
        <w:spacing w:after="0"/>
        <w:jc w:val="both"/>
        <w:rPr>
          <w:rFonts w:ascii="Times New Roman" w:hAnsi="Times New Roman" w:cs="Times New Roman"/>
          <w:sz w:val="24"/>
          <w:szCs w:val="24"/>
        </w:rPr>
      </w:pPr>
    </w:p>
    <w:p w:rsidR="000A747B" w:rsidRPr="000A747B" w:rsidRDefault="000A747B" w:rsidP="000A747B">
      <w:pPr>
        <w:spacing w:after="0"/>
        <w:jc w:val="both"/>
        <w:rPr>
          <w:rFonts w:ascii="Times New Roman" w:hAnsi="Times New Roman" w:cs="Times New Roman"/>
          <w:sz w:val="24"/>
          <w:szCs w:val="24"/>
        </w:rPr>
      </w:pPr>
      <w:r w:rsidRPr="000A747B">
        <w:rPr>
          <w:rFonts w:ascii="Times New Roman" w:hAnsi="Times New Roman" w:cs="Times New Roman"/>
          <w:sz w:val="24"/>
          <w:szCs w:val="24"/>
        </w:rPr>
        <w:t>Ukoliko student/</w:t>
      </w:r>
      <w:proofErr w:type="spellStart"/>
      <w:r w:rsidRPr="000A747B">
        <w:rPr>
          <w:rFonts w:ascii="Times New Roman" w:hAnsi="Times New Roman" w:cs="Times New Roman"/>
          <w:sz w:val="24"/>
          <w:szCs w:val="24"/>
        </w:rPr>
        <w:t>ica</w:t>
      </w:r>
      <w:proofErr w:type="spellEnd"/>
      <w:r w:rsidRPr="000A747B">
        <w:rPr>
          <w:rFonts w:ascii="Times New Roman" w:hAnsi="Times New Roman" w:cs="Times New Roman"/>
          <w:sz w:val="24"/>
          <w:szCs w:val="24"/>
        </w:rPr>
        <w:t xml:space="preserve"> želi, matično visoko učilište, kako bi pomoglo u pripremi za aktivnost mobilnosti, studentu/</w:t>
      </w:r>
      <w:proofErr w:type="spellStart"/>
      <w:r w:rsidRPr="000A747B">
        <w:rPr>
          <w:rFonts w:ascii="Times New Roman" w:hAnsi="Times New Roman" w:cs="Times New Roman"/>
          <w:sz w:val="24"/>
          <w:szCs w:val="24"/>
        </w:rPr>
        <w:t>ici</w:t>
      </w:r>
      <w:proofErr w:type="spellEnd"/>
      <w:r w:rsidRPr="000A747B">
        <w:rPr>
          <w:rFonts w:ascii="Times New Roman" w:hAnsi="Times New Roman" w:cs="Times New Roman"/>
          <w:sz w:val="24"/>
          <w:szCs w:val="24"/>
        </w:rPr>
        <w:t xml:space="preserve"> može dodijeliti besplatan </w:t>
      </w:r>
      <w:proofErr w:type="spellStart"/>
      <w:r w:rsidRPr="000A747B">
        <w:rPr>
          <w:rFonts w:ascii="Times New Roman" w:hAnsi="Times New Roman" w:cs="Times New Roman"/>
          <w:sz w:val="24"/>
          <w:szCs w:val="24"/>
        </w:rPr>
        <w:t>online</w:t>
      </w:r>
      <w:proofErr w:type="spellEnd"/>
      <w:r w:rsidRPr="000A747B">
        <w:rPr>
          <w:rFonts w:ascii="Times New Roman" w:hAnsi="Times New Roman" w:cs="Times New Roman"/>
          <w:sz w:val="24"/>
          <w:szCs w:val="24"/>
        </w:rPr>
        <w:t xml:space="preserve"> jezični tečaj na engleskom, njemačkom, talijanskom, španjolskom ili nizozemskom jeziku.</w:t>
      </w:r>
    </w:p>
    <w:p w:rsidR="000A747B" w:rsidRDefault="000A747B" w:rsidP="005F103D">
      <w:pPr>
        <w:spacing w:after="0"/>
        <w:rPr>
          <w:rFonts w:ascii="Times New Roman" w:hAnsi="Times New Roman" w:cs="Times New Roman"/>
          <w:color w:val="4F81BD" w:themeColor="accent1"/>
          <w:sz w:val="32"/>
          <w:szCs w:val="32"/>
        </w:rPr>
      </w:pPr>
    </w:p>
    <w:p w:rsidR="000A747B" w:rsidRDefault="000A747B" w:rsidP="005F103D">
      <w:pPr>
        <w:spacing w:after="0"/>
        <w:rPr>
          <w:rFonts w:ascii="Times New Roman" w:hAnsi="Times New Roman" w:cs="Times New Roman"/>
          <w:color w:val="4F81BD" w:themeColor="accent1"/>
          <w:sz w:val="32"/>
          <w:szCs w:val="32"/>
        </w:rPr>
      </w:pPr>
    </w:p>
    <w:p w:rsidR="005F103D" w:rsidRDefault="005F103D" w:rsidP="005F103D">
      <w:pPr>
        <w:spacing w:after="0"/>
        <w:rPr>
          <w:rFonts w:ascii="Times New Roman" w:hAnsi="Times New Roman" w:cs="Times New Roman"/>
          <w:color w:val="4F81BD" w:themeColor="accent1"/>
          <w:sz w:val="32"/>
          <w:szCs w:val="32"/>
        </w:rPr>
      </w:pPr>
      <w:r w:rsidRPr="005F103D">
        <w:rPr>
          <w:rFonts w:ascii="Times New Roman" w:hAnsi="Times New Roman" w:cs="Times New Roman"/>
          <w:color w:val="4F81BD" w:themeColor="accent1"/>
          <w:sz w:val="32"/>
          <w:szCs w:val="32"/>
        </w:rPr>
        <w:t>Osiguranje</w:t>
      </w:r>
    </w:p>
    <w:p w:rsidR="005F103D" w:rsidRPr="005F103D" w:rsidRDefault="005F103D" w:rsidP="005F103D">
      <w:pPr>
        <w:spacing w:after="0"/>
        <w:jc w:val="both"/>
        <w:rPr>
          <w:rFonts w:ascii="Times New Roman" w:hAnsi="Times New Roman" w:cs="Times New Roman"/>
          <w:color w:val="4F81BD" w:themeColor="accent1"/>
          <w:sz w:val="32"/>
          <w:szCs w:val="32"/>
        </w:rPr>
      </w:pPr>
      <w:r w:rsidRPr="005F103D">
        <w:rPr>
          <w:rFonts w:ascii="Times New Roman" w:hAnsi="Times New Roman" w:cs="Times New Roman"/>
          <w:sz w:val="24"/>
          <w:szCs w:val="24"/>
        </w:rPr>
        <w:t>Student je dužan sklopiti policu zdravstvenog osiguranja za cijelo razdoblje mobilnosti.</w:t>
      </w:r>
    </w:p>
    <w:p w:rsidR="005F103D" w:rsidRPr="005F103D" w:rsidRDefault="005F103D" w:rsidP="005F103D">
      <w:pPr>
        <w:jc w:val="both"/>
        <w:rPr>
          <w:rFonts w:ascii="Times New Roman" w:hAnsi="Times New Roman" w:cs="Times New Roman"/>
          <w:sz w:val="24"/>
          <w:szCs w:val="24"/>
        </w:rPr>
      </w:pPr>
      <w:r w:rsidRPr="005F103D">
        <w:rPr>
          <w:rFonts w:ascii="Times New Roman" w:hAnsi="Times New Roman" w:cs="Times New Roman"/>
          <w:sz w:val="24"/>
          <w:szCs w:val="24"/>
        </w:rPr>
        <w:t xml:space="preserve">Osnovno osiguranje obično osigurava nacionalno zdravstveno osiguranje studenta i za njegovog boravka u drugoj zemlji EU preko europske zdravstvene iskaznice. Međutim, osiguranje koje pokriva europska zdravstvena iskaznica ili privatno osiguranje možda nije dovoljno, posebno u slučaju repatrijacije i određene liječničke intervencije. U tom slučaju </w:t>
      </w:r>
      <w:r w:rsidRPr="005F103D">
        <w:rPr>
          <w:rFonts w:ascii="Times New Roman" w:hAnsi="Times New Roman" w:cs="Times New Roman"/>
          <w:sz w:val="24"/>
          <w:szCs w:val="24"/>
        </w:rPr>
        <w:lastRenderedPageBreak/>
        <w:t>može biti korisno dodatno privatno osiguranje. Sveučilište će smatrati da je Korisnik svjestan obveza vezanih uz zdravstveno osiguranje.</w:t>
      </w:r>
    </w:p>
    <w:p w:rsidR="005F103D" w:rsidRPr="005F103D" w:rsidRDefault="005F103D" w:rsidP="005F103D">
      <w:pPr>
        <w:jc w:val="both"/>
        <w:rPr>
          <w:rFonts w:ascii="Times New Roman" w:hAnsi="Times New Roman" w:cs="Times New Roman"/>
          <w:sz w:val="24"/>
          <w:szCs w:val="24"/>
        </w:rPr>
      </w:pPr>
      <w:r w:rsidRPr="005F103D">
        <w:rPr>
          <w:rFonts w:ascii="Times New Roman" w:hAnsi="Times New Roman" w:cs="Times New Roman"/>
          <w:sz w:val="24"/>
          <w:szCs w:val="24"/>
        </w:rPr>
        <w:t xml:space="preserve">Student je dužan sklopiti policu osiguranja od nezgode i od odgovornosti prije odlaska na </w:t>
      </w:r>
      <w:proofErr w:type="spellStart"/>
      <w:r w:rsidRPr="005F103D">
        <w:rPr>
          <w:rFonts w:ascii="Times New Roman" w:hAnsi="Times New Roman" w:cs="Times New Roman"/>
          <w:sz w:val="24"/>
          <w:szCs w:val="24"/>
        </w:rPr>
        <w:t>Erasmus</w:t>
      </w:r>
      <w:proofErr w:type="spellEnd"/>
      <w:r w:rsidRPr="005F103D">
        <w:rPr>
          <w:rFonts w:ascii="Times New Roman" w:hAnsi="Times New Roman" w:cs="Times New Roman"/>
          <w:sz w:val="24"/>
          <w:szCs w:val="24"/>
        </w:rPr>
        <w:t>+ stručnu praksu (a nakon što mu je ista odobrena od strane Povjerenstva za odabir kandidata).</w:t>
      </w:r>
    </w:p>
    <w:p w:rsidR="005F103D" w:rsidRPr="005F103D" w:rsidRDefault="005F103D" w:rsidP="005F103D">
      <w:pPr>
        <w:rPr>
          <w:rFonts w:ascii="Times New Roman" w:hAnsi="Times New Roman" w:cs="Times New Roman"/>
          <w:sz w:val="24"/>
          <w:szCs w:val="24"/>
        </w:rPr>
      </w:pPr>
      <w:r w:rsidRPr="005F103D">
        <w:rPr>
          <w:rFonts w:ascii="Times New Roman" w:hAnsi="Times New Roman" w:cs="Times New Roman"/>
          <w:sz w:val="24"/>
          <w:szCs w:val="24"/>
        </w:rPr>
        <w:t>Preslika police osiguranja i europske zdravstvene iskaznice mora se priložiti Ugovoru između visokog učilišta i studenta.</w:t>
      </w:r>
    </w:p>
    <w:sectPr w:rsidR="005F103D" w:rsidRPr="005F103D" w:rsidSect="00385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80580"/>
    <w:multiLevelType w:val="hybridMultilevel"/>
    <w:tmpl w:val="B37C3C8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5F103D"/>
    <w:rsid w:val="000A747B"/>
    <w:rsid w:val="00135DB7"/>
    <w:rsid w:val="00385E15"/>
    <w:rsid w:val="005F10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1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747B"/>
    <w:pPr>
      <w:ind w:left="720"/>
      <w:contextualSpacing/>
    </w:pPr>
  </w:style>
  <w:style w:type="table" w:customStyle="1" w:styleId="Svijetlipopis-Isticanje11">
    <w:name w:val="Svijetli popis - Isticanje 11"/>
    <w:basedOn w:val="Obinatablica"/>
    <w:uiPriority w:val="61"/>
    <w:rsid w:val="000A74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eza">
    <w:name w:val="Hyperlink"/>
    <w:basedOn w:val="Zadanifontodlomka"/>
    <w:uiPriority w:val="99"/>
    <w:unhideWhenUsed/>
    <w:rsid w:val="000A74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on.hr/z/85/Zakon-o-porezu-na-dohod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925</Words>
  <Characters>5278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KIFST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Penjak</dc:creator>
  <cp:lastModifiedBy>Ana Penjak</cp:lastModifiedBy>
  <cp:revision>1</cp:revision>
  <dcterms:created xsi:type="dcterms:W3CDTF">2021-02-10T13:02:00Z</dcterms:created>
  <dcterms:modified xsi:type="dcterms:W3CDTF">2021-02-10T13:23:00Z</dcterms:modified>
</cp:coreProperties>
</file>