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D2" w:rsidRPr="001C0B09" w:rsidRDefault="00B87ED2" w:rsidP="00B87ED2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  <w:lang w:val="en-GB"/>
        </w:rPr>
        <w:t>Training</w:t>
      </w:r>
      <w:r w:rsidRPr="001C0B09">
        <w:rPr>
          <w:rFonts w:ascii="Times New Roman" w:hAnsi="Times New Roman" w:cs="Times New Roman"/>
          <w:b/>
          <w:color w:val="1F497D" w:themeColor="text2"/>
          <w:sz w:val="48"/>
          <w:szCs w:val="48"/>
          <w:lang w:val="en-GB"/>
        </w:rPr>
        <w:t xml:space="preserve"> mobility</w:t>
      </w:r>
    </w:p>
    <w:p w:rsidR="00BA2B04" w:rsidRDefault="00BA2B04" w:rsidP="00A2492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2B04" w:rsidRPr="00330EA1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type of</w:t>
      </w: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mobility must take place at the higher education institution with which the University of Split has signed Erasmus+ inter-</w:t>
      </w:r>
      <w:proofErr w:type="spellStart"/>
      <w:r w:rsidRPr="00330EA1">
        <w:rPr>
          <w:rFonts w:ascii="Times New Roman" w:hAnsi="Times New Roman" w:cs="Times New Roman"/>
          <w:sz w:val="24"/>
          <w:szCs w:val="24"/>
          <w:lang w:val="en-GB"/>
        </w:rPr>
        <w:t>institutuonal</w:t>
      </w:r>
      <w:proofErr w:type="spellEnd"/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agreement. </w:t>
      </w:r>
    </w:p>
    <w:p w:rsidR="00BA2B04" w:rsidRPr="00330EA1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2B04" w:rsidRPr="00330EA1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0EA1">
        <w:rPr>
          <w:rFonts w:ascii="Times New Roman" w:hAnsi="Times New Roman" w:cs="Times New Roman"/>
          <w:sz w:val="24"/>
          <w:szCs w:val="24"/>
          <w:lang w:val="en-GB"/>
        </w:rPr>
        <w:t>For valid Erasmus+ inter-</w:t>
      </w:r>
      <w:proofErr w:type="spellStart"/>
      <w:r w:rsidRPr="00330EA1">
        <w:rPr>
          <w:rFonts w:ascii="Times New Roman" w:hAnsi="Times New Roman" w:cs="Times New Roman"/>
          <w:sz w:val="24"/>
          <w:szCs w:val="24"/>
          <w:lang w:val="en-GB"/>
        </w:rPr>
        <w:t>institutuonal</w:t>
      </w:r>
      <w:proofErr w:type="spellEnd"/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agreements please check </w:t>
      </w:r>
      <w:hyperlink r:id="rId5" w:history="1">
        <w:r w:rsidRPr="00586888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here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A2B04" w:rsidRPr="00330EA1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2B04" w:rsidRPr="00330EA1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>training</w:t>
      </w: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period between two Programme countries must last a minimum of 2 days and a maximum of 2 months. This excludes travelling time.</w:t>
      </w:r>
    </w:p>
    <w:p w:rsidR="00BA2B04" w:rsidRPr="00330EA1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2B04" w:rsidRPr="00330EA1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>training</w:t>
      </w: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period between a Programme country and a Partner country must last a minimum of 5 days and maximum of 2 months. This excludes travelling time.</w:t>
      </w:r>
    </w:p>
    <w:p w:rsidR="00BA2B04" w:rsidRPr="00330EA1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2B04" w:rsidRPr="00330EA1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Needed documents for your mobility:</w:t>
      </w:r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2B04" w:rsidRPr="00181783" w:rsidRDefault="00BA2B04" w:rsidP="00BA2B0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Pr="0028263E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Application form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Prijavni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obrazac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osoblje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A2B04" w:rsidRPr="00174724" w:rsidRDefault="00BA2B04" w:rsidP="00BA2B0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HYPERLINK "../../../Documents/Training%20Agreement.docx"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BA2B04">
        <w:rPr>
          <w:rStyle w:val="Hiperveza"/>
          <w:rFonts w:ascii="Times New Roman" w:hAnsi="Times New Roman" w:cs="Times New Roman"/>
          <w:sz w:val="24"/>
          <w:szCs w:val="24"/>
          <w:lang w:val="en-GB"/>
        </w:rPr>
        <w:t>Staff mobility agreement for training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BA2B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t xml:space="preserve"> </w:t>
      </w:r>
      <w:r w:rsidRPr="00174724">
        <w:rPr>
          <w:rFonts w:ascii="Times New Roman" w:hAnsi="Times New Roman" w:cs="Times New Roman"/>
          <w:sz w:val="24"/>
          <w:szCs w:val="24"/>
        </w:rPr>
        <w:t>(Sporazum o mobilnosti u svrhu podučavanja)</w:t>
      </w:r>
    </w:p>
    <w:p w:rsidR="00BA2B04" w:rsidRDefault="00BA2B04" w:rsidP="00BA2B0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proofErr w:type="spellStart"/>
        <w:r w:rsidRPr="0078643B">
          <w:rPr>
            <w:rStyle w:val="Hiperveza"/>
            <w:rFonts w:ascii="Times New Roman" w:hAnsi="Times New Roman" w:cs="Times New Roman"/>
            <w:sz w:val="24"/>
            <w:szCs w:val="24"/>
          </w:rPr>
          <w:t>Statement</w:t>
        </w:r>
        <w:proofErr w:type="spellEnd"/>
        <w:r w:rsidRPr="0078643B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8643B">
          <w:rPr>
            <w:rStyle w:val="Hiperveza"/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Pr="0078643B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8643B">
          <w:rPr>
            <w:rStyle w:val="Hiperveza"/>
            <w:rFonts w:ascii="Times New Roman" w:hAnsi="Times New Roman" w:cs="Times New Roman"/>
            <w:sz w:val="24"/>
            <w:szCs w:val="24"/>
          </w:rPr>
          <w:t>host</w:t>
        </w:r>
        <w:proofErr w:type="spellEnd"/>
        <w:r w:rsidRPr="0078643B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8643B">
          <w:rPr>
            <w:rStyle w:val="Hiperveza"/>
            <w:rFonts w:ascii="Times New Roman" w:hAnsi="Times New Roman" w:cs="Times New Roman"/>
            <w:sz w:val="24"/>
            <w:szCs w:val="24"/>
          </w:rPr>
          <w:t>institution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sudjelovanju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A2B04" w:rsidRDefault="00BA2B04" w:rsidP="00BA2B0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Pr="00BA2B04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Agreement on the financial support for Erasmus + staff mobility for training</w:t>
        </w:r>
      </w:hyperlink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A2B04" w:rsidRDefault="00BA2B04" w:rsidP="00BA2B0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Ugovor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dodjeli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financijske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potpore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erasmus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+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mobilnost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osoblja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svrhu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osposobljavanja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A2B04" w:rsidRPr="00586888" w:rsidRDefault="00BA2B04" w:rsidP="00BA2B0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r w:rsidRPr="001E0E5C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Statement of withdrawal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Izjava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odustanku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</w:p>
    <w:p w:rsidR="00BA2B04" w:rsidRPr="005311AD" w:rsidRDefault="00BA2B04" w:rsidP="00BA2B04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  <w:r w:rsidRPr="005311AD"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  <w:t xml:space="preserve">Staff mobility agreement for </w:t>
      </w:r>
      <w:r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  <w:t>training</w:t>
      </w:r>
      <w:r w:rsidRPr="005311AD"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  <w:t xml:space="preserve"> </w:t>
      </w:r>
    </w:p>
    <w:p w:rsidR="00BA2B04" w:rsidRPr="00330EA1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Before the beginning the teaching period, beneficiary, sending institution and the receiving institution sign Staff mobility agreement for </w:t>
      </w:r>
      <w:r>
        <w:rPr>
          <w:rFonts w:ascii="Times New Roman" w:hAnsi="Times New Roman" w:cs="Times New Roman"/>
          <w:sz w:val="24"/>
          <w:szCs w:val="24"/>
          <w:lang w:val="en-GB"/>
        </w:rPr>
        <w:t>training</w:t>
      </w: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 document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This document sets out learning goals, rights and responsibilities and also how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training </w:t>
      </w:r>
      <w:r w:rsidRPr="00330EA1">
        <w:rPr>
          <w:rFonts w:ascii="Times New Roman" w:hAnsi="Times New Roman" w:cs="Times New Roman"/>
          <w:sz w:val="24"/>
          <w:szCs w:val="24"/>
          <w:lang w:val="en-GB"/>
        </w:rPr>
        <w:t>period will be recognised.</w:t>
      </w:r>
    </w:p>
    <w:p w:rsidR="00BA2B04" w:rsidRPr="00586888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6888">
        <w:rPr>
          <w:rFonts w:ascii="Times New Roman" w:hAnsi="Times New Roman" w:cs="Times New Roman"/>
          <w:sz w:val="24"/>
          <w:szCs w:val="24"/>
          <w:lang w:val="en-GB"/>
        </w:rPr>
        <w:t>Once you have initiated contact with faculty/department of your choice and agreed on general details of your visit, please send the documents your home university requires to be signed.</w:t>
      </w:r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</w:p>
    <w:p w:rsidR="00BA2B04" w:rsidRPr="005F3943" w:rsidRDefault="00BA2B04" w:rsidP="00BA2B04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  <w:t>Statement of host institution</w:t>
      </w:r>
    </w:p>
    <w:p w:rsidR="00BA2B04" w:rsidRPr="00586888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6888">
        <w:rPr>
          <w:rFonts w:ascii="Times New Roman" w:hAnsi="Times New Roman" w:cs="Times New Roman"/>
          <w:sz w:val="24"/>
          <w:szCs w:val="24"/>
          <w:lang w:val="en-GB"/>
        </w:rPr>
        <w:t>For the purpose of proof that the mobility actually took place, you are re</w:t>
      </w:r>
      <w:r>
        <w:rPr>
          <w:rFonts w:ascii="Times New Roman" w:hAnsi="Times New Roman" w:cs="Times New Roman"/>
          <w:sz w:val="24"/>
          <w:szCs w:val="24"/>
          <w:lang w:val="en-GB"/>
        </w:rPr>
        <w:t>quired to have the Statement of the host institution</w:t>
      </w: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document </w:t>
      </w: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signed and stamped by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authorised person at the faculty/department of the University </w:t>
      </w:r>
      <w:r>
        <w:rPr>
          <w:rFonts w:ascii="Times New Roman" w:hAnsi="Times New Roman" w:cs="Times New Roman"/>
          <w:sz w:val="24"/>
          <w:szCs w:val="24"/>
          <w:lang w:val="en-GB"/>
        </w:rPr>
        <w:t>you are having you mobility on</w:t>
      </w: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 at the end of your mobility.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document confirms you arrival and departure from the </w:t>
      </w: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faculty/department of the University </w:t>
      </w:r>
      <w:r>
        <w:rPr>
          <w:rFonts w:ascii="Times New Roman" w:hAnsi="Times New Roman" w:cs="Times New Roman"/>
          <w:sz w:val="24"/>
          <w:szCs w:val="24"/>
          <w:lang w:val="en-GB"/>
        </w:rPr>
        <w:t>you are having you mobility on.</w:t>
      </w:r>
    </w:p>
    <w:p w:rsidR="00A2492C" w:rsidRDefault="00A2492C" w:rsidP="00A2492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2492C" w:rsidRPr="00A2492C" w:rsidRDefault="00A2492C" w:rsidP="00A2492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492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EU grants provide a contribution to your </w:t>
      </w:r>
      <w:r w:rsidRPr="00A2492C">
        <w:rPr>
          <w:rFonts w:ascii="Times New Roman" w:hAnsi="Times New Roman" w:cs="Times New Roman"/>
          <w:color w:val="4F81BD" w:themeColor="accent1"/>
          <w:sz w:val="24"/>
          <w:szCs w:val="24"/>
          <w:lang w:val="en-GB"/>
        </w:rPr>
        <w:t>costs for travel and subsistence</w:t>
      </w:r>
      <w:r w:rsidRPr="00A2492C">
        <w:rPr>
          <w:rFonts w:ascii="Times New Roman" w:hAnsi="Times New Roman" w:cs="Times New Roman"/>
          <w:sz w:val="24"/>
          <w:szCs w:val="24"/>
          <w:lang w:val="en-GB"/>
        </w:rPr>
        <w:t xml:space="preserve"> during your time abroad:</w:t>
      </w:r>
    </w:p>
    <w:p w:rsidR="00405D7B" w:rsidRDefault="008E62E4" w:rsidP="00405D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0" w:history="1">
        <w:r w:rsidR="00405D7B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S</w:t>
        </w:r>
        <w:r w:rsidR="00405D7B" w:rsidRPr="00A2492C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ubsistence costs</w:t>
        </w:r>
      </w:hyperlink>
      <w:r w:rsidR="00405D7B" w:rsidRPr="00A249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2492C" w:rsidRPr="00A2492C" w:rsidRDefault="00405D7B" w:rsidP="00A249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2492C" w:rsidRPr="00A2492C">
        <w:rPr>
          <w:rFonts w:ascii="Times New Roman" w:hAnsi="Times New Roman" w:cs="Times New Roman"/>
          <w:sz w:val="24"/>
          <w:szCs w:val="24"/>
          <w:lang w:val="en-GB"/>
        </w:rPr>
        <w:t xml:space="preserve">ravel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costs </w:t>
      </w:r>
    </w:p>
    <w:p w:rsidR="00405D7B" w:rsidRDefault="00405D7B" w:rsidP="00405D7B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</w:p>
    <w:p w:rsidR="00405D7B" w:rsidRDefault="00405D7B" w:rsidP="00405D7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5D7B"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  <w:t>Substances costs</w:t>
      </w:r>
      <w:r w:rsidRPr="00A249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05D7B" w:rsidRPr="00405D7B" w:rsidRDefault="00405D7B" w:rsidP="00405D7B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Substance costs </w:t>
      </w:r>
      <w:r w:rsidRPr="00A2492C">
        <w:rPr>
          <w:rFonts w:ascii="Times New Roman" w:hAnsi="Times New Roman" w:cs="Times New Roman"/>
          <w:sz w:val="24"/>
          <w:szCs w:val="24"/>
          <w:lang w:val="en-GB"/>
        </w:rPr>
        <w:t>depend on the country you are visiting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Style w:val="Svijetlipopis-Isticanje11"/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3096"/>
        <w:gridCol w:w="3096"/>
      </w:tblGrid>
      <w:tr w:rsidR="00A2492C" w:rsidTr="003B4770">
        <w:trPr>
          <w:cnfStyle w:val="100000000000"/>
          <w:trHeight w:val="1442"/>
        </w:trPr>
        <w:tc>
          <w:tcPr>
            <w:cnfStyle w:val="001000000000"/>
            <w:tcW w:w="2988" w:type="dxa"/>
          </w:tcPr>
          <w:p w:rsidR="00A2492C" w:rsidRDefault="00A2492C" w:rsidP="0084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2492C" w:rsidRPr="00341836" w:rsidRDefault="00405D7B" w:rsidP="008443B9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Mobili</w:t>
            </w:r>
            <w:r w:rsidR="00A2492C" w:rsidRPr="003418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3096" w:type="dxa"/>
            <w:vAlign w:val="center"/>
          </w:tcPr>
          <w:p w:rsidR="003B4770" w:rsidRPr="003B4770" w:rsidRDefault="003B4770" w:rsidP="003B4770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4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Daily</w:t>
            </w:r>
            <w:proofErr w:type="spellEnd"/>
            <w:r w:rsidRPr="003B4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4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amount</w:t>
            </w:r>
            <w:proofErr w:type="spellEnd"/>
            <w:r w:rsidRPr="003B4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4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</w:t>
            </w:r>
            <w:proofErr w:type="spellEnd"/>
            <w:r w:rsidRPr="003B4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participant for a period </w:t>
            </w:r>
            <w:proofErr w:type="spellStart"/>
            <w:r w:rsidRPr="003B4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</w:t>
            </w:r>
            <w:proofErr w:type="spellEnd"/>
            <w:r w:rsidRPr="003B4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1-14 </w:t>
            </w:r>
            <w:proofErr w:type="spellStart"/>
            <w:r w:rsidRPr="003B4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days</w:t>
            </w:r>
            <w:proofErr w:type="spellEnd"/>
          </w:p>
          <w:p w:rsidR="00A2492C" w:rsidRPr="003B4770" w:rsidRDefault="003B4770" w:rsidP="003B4770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B4770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(represents already calculated 80% of the max amount determined by the EC)</w:t>
            </w:r>
          </w:p>
        </w:tc>
      </w:tr>
      <w:tr w:rsidR="00A2492C" w:rsidTr="00EC5739">
        <w:trPr>
          <w:cnfStyle w:val="000000100000"/>
          <w:trHeight w:val="1932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2492C" w:rsidRPr="00341836" w:rsidRDefault="00405D7B" w:rsidP="008443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Group 1</w:t>
            </w:r>
          </w:p>
          <w:p w:rsidR="00A2492C" w:rsidRDefault="00A2492C" w:rsidP="0084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B4770" w:rsidRPr="003B4770" w:rsidRDefault="003B4770" w:rsidP="003B47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4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Denmark, Finland, Iceland,</w:t>
            </w:r>
          </w:p>
          <w:p w:rsidR="003B4770" w:rsidRPr="003B4770" w:rsidRDefault="003B4770" w:rsidP="003B47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4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Sweden, Norway, United</w:t>
            </w:r>
          </w:p>
          <w:p w:rsidR="003B4770" w:rsidRPr="003B4770" w:rsidRDefault="003B4770" w:rsidP="003B47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4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Kingdom, Ireland, Luxembourg,</w:t>
            </w:r>
          </w:p>
          <w:p w:rsidR="00A2492C" w:rsidRDefault="003B4770" w:rsidP="003B47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B4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Liechtenstein</w:t>
            </w: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2492C" w:rsidRDefault="00A2492C" w:rsidP="008443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34183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A2492C" w:rsidTr="00EC5739">
        <w:trPr>
          <w:trHeight w:val="1932"/>
        </w:trPr>
        <w:tc>
          <w:tcPr>
            <w:cnfStyle w:val="001000000000"/>
            <w:tcW w:w="2988" w:type="dxa"/>
            <w:vAlign w:val="center"/>
          </w:tcPr>
          <w:p w:rsidR="00A2492C" w:rsidRPr="00341836" w:rsidRDefault="00405D7B" w:rsidP="008443B9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Group</w:t>
            </w:r>
            <w:r w:rsidR="00A2492C" w:rsidRPr="00341836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2</w:t>
            </w:r>
          </w:p>
          <w:p w:rsidR="00A2492C" w:rsidRDefault="00A2492C" w:rsidP="0084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3B4770" w:rsidRPr="003B4770" w:rsidRDefault="003B4770" w:rsidP="003B477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4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Austria, Belgium, Germany,</w:t>
            </w:r>
          </w:p>
          <w:p w:rsidR="003B4770" w:rsidRPr="003B4770" w:rsidRDefault="003B4770" w:rsidP="003B477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4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France, Italy, Greece,</w:t>
            </w:r>
          </w:p>
          <w:p w:rsidR="003B4770" w:rsidRPr="003B4770" w:rsidRDefault="003B4770" w:rsidP="003B477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4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Spain, Cyprus, Netherlands,</w:t>
            </w:r>
          </w:p>
          <w:p w:rsidR="00A2492C" w:rsidRDefault="003B4770" w:rsidP="003B477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B4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Malta, Portugal</w:t>
            </w:r>
          </w:p>
        </w:tc>
        <w:tc>
          <w:tcPr>
            <w:tcW w:w="3096" w:type="dxa"/>
            <w:vAlign w:val="center"/>
          </w:tcPr>
          <w:p w:rsidR="00A2492C" w:rsidRDefault="00A2492C" w:rsidP="00A2492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34183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A2492C" w:rsidTr="00EC5739">
        <w:trPr>
          <w:cnfStyle w:val="000000100000"/>
          <w:trHeight w:val="1932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2492C" w:rsidRPr="00341836" w:rsidRDefault="00405D7B" w:rsidP="008443B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Group</w:t>
            </w:r>
            <w:r w:rsidR="00A2492C" w:rsidRPr="003418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3</w:t>
            </w:r>
          </w:p>
          <w:p w:rsidR="00A2492C" w:rsidRDefault="00A2492C" w:rsidP="0084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B4770" w:rsidRPr="00DF0531" w:rsidRDefault="003B4770" w:rsidP="003B47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F05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Bulgaria, Croatia, Czech Republic,</w:t>
            </w:r>
          </w:p>
          <w:p w:rsidR="003B4770" w:rsidRPr="00DF0531" w:rsidRDefault="003B4770" w:rsidP="003B47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F05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Estonia, Latvia, Lithuania, Hungary,</w:t>
            </w:r>
          </w:p>
          <w:p w:rsidR="003B4770" w:rsidRPr="00DF0531" w:rsidRDefault="003B4770" w:rsidP="003B47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F05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Poland, Romania, Serbia,</w:t>
            </w:r>
          </w:p>
          <w:p w:rsidR="003B4770" w:rsidRPr="00DF0531" w:rsidRDefault="003B4770" w:rsidP="003B47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F05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Slovakia, Slovenia, Macedonia,</w:t>
            </w:r>
          </w:p>
          <w:p w:rsidR="00A2492C" w:rsidRDefault="003B4770" w:rsidP="003B47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B4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2492C" w:rsidRDefault="00A2492C" w:rsidP="008443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34183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:rsidR="00A2492C" w:rsidRPr="00A2492C" w:rsidRDefault="00A2492C" w:rsidP="00A2492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2492C" w:rsidRPr="00405D7B" w:rsidRDefault="00405D7B" w:rsidP="00A2492C">
      <w:pPr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</w:pPr>
      <w:r w:rsidRPr="00405D7B"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  <w:t>Daily costs are calculated in the following way:</w:t>
      </w:r>
    </w:p>
    <w:p w:rsidR="003B4770" w:rsidRDefault="003B4770" w:rsidP="00405D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3B4770">
        <w:rPr>
          <w:rFonts w:ascii="Times New Roman" w:hAnsi="Times New Roman" w:cs="Times New Roman"/>
          <w:lang w:val="en-US"/>
        </w:rPr>
        <w:t>Up to the 14th day of activity, the daily amount per participant is calculated as indicated in the table above</w:t>
      </w:r>
      <w:r>
        <w:rPr>
          <w:rFonts w:ascii="Times New Roman" w:hAnsi="Times New Roman" w:cs="Times New Roman"/>
          <w:lang w:val="en-US"/>
        </w:rPr>
        <w:t>.</w:t>
      </w:r>
    </w:p>
    <w:p w:rsidR="00405D7B" w:rsidRDefault="003B4770" w:rsidP="00405D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Pr="003B4770">
        <w:rPr>
          <w:rFonts w:ascii="Times New Roman" w:hAnsi="Times New Roman" w:cs="Times New Roman"/>
          <w:lang w:val="en-US"/>
        </w:rPr>
        <w:t>rom the 15th to the 60th day of activity</w:t>
      </w:r>
      <w:r>
        <w:rPr>
          <w:rFonts w:ascii="Times New Roman" w:hAnsi="Times New Roman" w:cs="Times New Roman"/>
          <w:lang w:val="en-US"/>
        </w:rPr>
        <w:t>,</w:t>
      </w:r>
      <w:r w:rsidRPr="003B4770">
        <w:rPr>
          <w:rFonts w:ascii="Times New Roman" w:hAnsi="Times New Roman" w:cs="Times New Roman"/>
          <w:lang w:val="en-US"/>
        </w:rPr>
        <w:t xml:space="preserve"> 70% of the daily amount per participant is calculated as stated in the table above</w:t>
      </w:r>
      <w:r>
        <w:rPr>
          <w:rFonts w:ascii="Times New Roman" w:hAnsi="Times New Roman" w:cs="Times New Roman"/>
          <w:lang w:val="en-US"/>
        </w:rPr>
        <w:t>.</w:t>
      </w:r>
    </w:p>
    <w:p w:rsidR="003B4770" w:rsidRPr="003B4770" w:rsidRDefault="003B4770" w:rsidP="003B4770">
      <w:pPr>
        <w:pStyle w:val="Odlomakpopisa"/>
        <w:rPr>
          <w:rFonts w:ascii="Times New Roman" w:hAnsi="Times New Roman" w:cs="Times New Roman"/>
          <w:lang w:val="en-US"/>
        </w:rPr>
      </w:pPr>
    </w:p>
    <w:p w:rsidR="00405D7B" w:rsidRDefault="00405D7B" w:rsidP="00405D7B">
      <w:pPr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</w:pPr>
      <w:r w:rsidRPr="00405D7B"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  <w:lastRenderedPageBreak/>
        <w:t>Travel costs</w:t>
      </w:r>
    </w:p>
    <w:p w:rsidR="00405D7B" w:rsidRDefault="00405D7B" w:rsidP="00405D7B">
      <w:pPr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Travel costs are calculated </w:t>
      </w:r>
      <w:r w:rsidRPr="00A2492C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</w:t>
      </w:r>
      <w:hyperlink r:id="rId11" w:history="1">
        <w:r w:rsidRPr="00DF0531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Distance Calculator</w:t>
        </w:r>
      </w:hyperlink>
      <w:r w:rsidRPr="00A2492C">
        <w:rPr>
          <w:rFonts w:ascii="Times New Roman" w:hAnsi="Times New Roman" w:cs="Times New Roman"/>
          <w:sz w:val="24"/>
          <w:szCs w:val="24"/>
          <w:lang w:val="en-GB"/>
        </w:rPr>
        <w:t>, starting point Split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Svijetlareetka-Isticanje1"/>
        <w:tblW w:w="0" w:type="auto"/>
        <w:tblInd w:w="108" w:type="dxa"/>
        <w:tblLook w:val="04A0"/>
      </w:tblPr>
      <w:tblGrid>
        <w:gridCol w:w="2977"/>
        <w:gridCol w:w="3119"/>
      </w:tblGrid>
      <w:tr w:rsidR="00405D7B" w:rsidRPr="00EC5739" w:rsidTr="00EC5739">
        <w:trPr>
          <w:cnfStyle w:val="100000000000"/>
          <w:trHeight w:val="397"/>
        </w:trPr>
        <w:tc>
          <w:tcPr>
            <w:cnfStyle w:val="001000000000"/>
            <w:tcW w:w="2977" w:type="dxa"/>
            <w:vAlign w:val="center"/>
          </w:tcPr>
          <w:p w:rsidR="00405D7B" w:rsidRPr="00EC5739" w:rsidRDefault="00405D7B" w:rsidP="00EC57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10-99km</w:t>
            </w:r>
          </w:p>
        </w:tc>
        <w:tc>
          <w:tcPr>
            <w:tcW w:w="3119" w:type="dxa"/>
            <w:vAlign w:val="center"/>
          </w:tcPr>
          <w:p w:rsidR="00405D7B" w:rsidRPr="00EC5739" w:rsidRDefault="00405D7B" w:rsidP="00EC57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</w:t>
            </w:r>
            <w:r w:rsidRPr="00EC57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EUR</w:t>
            </w:r>
          </w:p>
        </w:tc>
      </w:tr>
      <w:tr w:rsidR="00405D7B" w:rsidRPr="00EC5739" w:rsidTr="00EC5739">
        <w:trPr>
          <w:cnfStyle w:val="000000100000"/>
          <w:trHeight w:val="397"/>
        </w:trPr>
        <w:tc>
          <w:tcPr>
            <w:cnfStyle w:val="001000000000"/>
            <w:tcW w:w="2977" w:type="dxa"/>
            <w:vAlign w:val="center"/>
          </w:tcPr>
          <w:p w:rsidR="00405D7B" w:rsidRPr="00EC5739" w:rsidRDefault="00405D7B" w:rsidP="00EC57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100-499km</w:t>
            </w:r>
          </w:p>
        </w:tc>
        <w:tc>
          <w:tcPr>
            <w:tcW w:w="3119" w:type="dxa"/>
            <w:vAlign w:val="center"/>
          </w:tcPr>
          <w:p w:rsidR="00405D7B" w:rsidRPr="00EC5739" w:rsidRDefault="00405D7B" w:rsidP="00EC57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sz w:val="24"/>
                <w:szCs w:val="24"/>
              </w:rPr>
              <w:t>180 EUR</w:t>
            </w:r>
          </w:p>
        </w:tc>
      </w:tr>
      <w:tr w:rsidR="00405D7B" w:rsidRPr="00EC5739" w:rsidTr="00EC5739">
        <w:trPr>
          <w:cnfStyle w:val="000000010000"/>
          <w:trHeight w:val="397"/>
        </w:trPr>
        <w:tc>
          <w:tcPr>
            <w:cnfStyle w:val="001000000000"/>
            <w:tcW w:w="2977" w:type="dxa"/>
            <w:vAlign w:val="center"/>
          </w:tcPr>
          <w:p w:rsidR="00405D7B" w:rsidRPr="00EC5739" w:rsidRDefault="00405D7B" w:rsidP="00EC57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500-1 999km</w:t>
            </w:r>
          </w:p>
        </w:tc>
        <w:tc>
          <w:tcPr>
            <w:tcW w:w="3119" w:type="dxa"/>
            <w:vAlign w:val="center"/>
          </w:tcPr>
          <w:p w:rsidR="00405D7B" w:rsidRPr="00EC5739" w:rsidRDefault="00405D7B" w:rsidP="00EC57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sz w:val="24"/>
                <w:szCs w:val="24"/>
              </w:rPr>
              <w:t>275 EUR</w:t>
            </w:r>
          </w:p>
        </w:tc>
      </w:tr>
      <w:tr w:rsidR="00405D7B" w:rsidRPr="00EC5739" w:rsidTr="00EC5739">
        <w:trPr>
          <w:cnfStyle w:val="000000100000"/>
          <w:trHeight w:val="397"/>
        </w:trPr>
        <w:tc>
          <w:tcPr>
            <w:cnfStyle w:val="001000000000"/>
            <w:tcW w:w="2977" w:type="dxa"/>
            <w:vAlign w:val="center"/>
          </w:tcPr>
          <w:p w:rsidR="00405D7B" w:rsidRPr="00EC5739" w:rsidRDefault="00405D7B" w:rsidP="00EC57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2 000-2 999km</w:t>
            </w:r>
          </w:p>
        </w:tc>
        <w:tc>
          <w:tcPr>
            <w:tcW w:w="3119" w:type="dxa"/>
            <w:vAlign w:val="center"/>
          </w:tcPr>
          <w:p w:rsidR="00405D7B" w:rsidRPr="00EC5739" w:rsidRDefault="00405D7B" w:rsidP="00EC57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sz w:val="24"/>
                <w:szCs w:val="24"/>
              </w:rPr>
              <w:t>360 EUR</w:t>
            </w:r>
          </w:p>
        </w:tc>
      </w:tr>
      <w:tr w:rsidR="00405D7B" w:rsidRPr="00EC5739" w:rsidTr="00EC5739">
        <w:trPr>
          <w:cnfStyle w:val="000000010000"/>
          <w:trHeight w:val="397"/>
        </w:trPr>
        <w:tc>
          <w:tcPr>
            <w:cnfStyle w:val="001000000000"/>
            <w:tcW w:w="2977" w:type="dxa"/>
            <w:vAlign w:val="center"/>
          </w:tcPr>
          <w:p w:rsidR="00405D7B" w:rsidRPr="00EC5739" w:rsidRDefault="00405D7B" w:rsidP="00EC57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3 000-3 999km</w:t>
            </w:r>
          </w:p>
        </w:tc>
        <w:tc>
          <w:tcPr>
            <w:tcW w:w="3119" w:type="dxa"/>
            <w:vAlign w:val="center"/>
          </w:tcPr>
          <w:p w:rsidR="00405D7B" w:rsidRPr="00EC5739" w:rsidRDefault="00EC5739" w:rsidP="00EC57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sz w:val="24"/>
                <w:szCs w:val="24"/>
              </w:rPr>
              <w:t xml:space="preserve">530 </w:t>
            </w:r>
            <w:r w:rsidR="00405D7B" w:rsidRPr="00EC573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405D7B" w:rsidRPr="00EC5739" w:rsidTr="00EC5739">
        <w:trPr>
          <w:cnfStyle w:val="000000100000"/>
          <w:trHeight w:val="397"/>
        </w:trPr>
        <w:tc>
          <w:tcPr>
            <w:cnfStyle w:val="001000000000"/>
            <w:tcW w:w="2977" w:type="dxa"/>
            <w:vAlign w:val="center"/>
          </w:tcPr>
          <w:p w:rsidR="00405D7B" w:rsidRPr="00EC5739" w:rsidRDefault="00405D7B" w:rsidP="00EC57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4 000-7 999km</w:t>
            </w:r>
          </w:p>
        </w:tc>
        <w:tc>
          <w:tcPr>
            <w:tcW w:w="3119" w:type="dxa"/>
            <w:vAlign w:val="center"/>
          </w:tcPr>
          <w:p w:rsidR="00405D7B" w:rsidRPr="00EC5739" w:rsidRDefault="00EC5739" w:rsidP="00EC57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sz w:val="24"/>
                <w:szCs w:val="24"/>
              </w:rPr>
              <w:t xml:space="preserve">820 </w:t>
            </w:r>
            <w:r w:rsidR="00405D7B" w:rsidRPr="00EC573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405D7B" w:rsidRPr="00EC5739" w:rsidTr="00EC5739">
        <w:trPr>
          <w:cnfStyle w:val="000000010000"/>
          <w:trHeight w:val="397"/>
        </w:trPr>
        <w:tc>
          <w:tcPr>
            <w:cnfStyle w:val="001000000000"/>
            <w:tcW w:w="2977" w:type="dxa"/>
            <w:vAlign w:val="center"/>
          </w:tcPr>
          <w:p w:rsidR="00405D7B" w:rsidRPr="00EC5739" w:rsidRDefault="00405D7B" w:rsidP="00EC57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8 000km or more</w:t>
            </w:r>
          </w:p>
        </w:tc>
        <w:tc>
          <w:tcPr>
            <w:tcW w:w="3119" w:type="dxa"/>
            <w:vAlign w:val="center"/>
          </w:tcPr>
          <w:p w:rsidR="00405D7B" w:rsidRPr="00EC5739" w:rsidRDefault="00EC5739" w:rsidP="00EC57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3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="00405D7B" w:rsidRPr="00EC573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405D7B" w:rsidRDefault="00405D7B" w:rsidP="00BA2B04">
      <w:pPr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</w:pPr>
    </w:p>
    <w:p w:rsidR="003B4770" w:rsidRPr="003B4770" w:rsidRDefault="003B4770" w:rsidP="00405D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4770">
        <w:rPr>
          <w:rFonts w:ascii="Times New Roman" w:hAnsi="Times New Roman" w:cs="Times New Roman"/>
          <w:sz w:val="24"/>
          <w:szCs w:val="24"/>
          <w:lang w:val="en-US"/>
        </w:rPr>
        <w:t xml:space="preserve">For more information, please visit: </w:t>
      </w:r>
      <w:hyperlink r:id="rId12" w:history="1">
        <w:r w:rsidRPr="003B4770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 xml:space="preserve">European </w:t>
        </w:r>
        <w:proofErr w:type="spellStart"/>
        <w:r w:rsidRPr="003B4770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Commision</w:t>
        </w:r>
        <w:proofErr w:type="spellEnd"/>
      </w:hyperlink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more information of Staff weeks, please visit:</w:t>
      </w:r>
      <w:r w:rsidRPr="00161676">
        <w:t xml:space="preserve"> </w:t>
      </w:r>
      <w:r>
        <w:t xml:space="preserve"> </w:t>
      </w:r>
      <w:hyperlink r:id="rId13" w:history="1">
        <w:r w:rsidRPr="00682D89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http://staffmobility.eu/</w:t>
        </w:r>
      </w:hyperlink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2B04" w:rsidRPr="00586888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Please consult ours </w:t>
      </w:r>
      <w:hyperlink r:id="rId14" w:history="1">
        <w:r w:rsidRPr="00586888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Erasmus Data Sheet</w:t>
        </w:r>
      </w:hyperlink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 for general information on the Institution and list of contact persons / Erasmus coordinators at faculty/department levels.</w:t>
      </w:r>
    </w:p>
    <w:p w:rsidR="00BA2B04" w:rsidRPr="006A38D6" w:rsidRDefault="00BA2B04" w:rsidP="00BA2B04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GB"/>
        </w:rPr>
      </w:pPr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6888">
        <w:rPr>
          <w:rFonts w:ascii="Times New Roman" w:hAnsi="Times New Roman" w:cs="Times New Roman"/>
          <w:sz w:val="24"/>
          <w:szCs w:val="24"/>
          <w:lang w:val="en-GB"/>
        </w:rPr>
        <w:t>Should you experience any troubles finding what you need, please contact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5" w:history="1">
        <w:r w:rsidRPr="00276623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erasmus@kifst.hr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6" w:history="1">
        <w:r w:rsidRPr="00276623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erasmus@unist.hr</w:t>
        </w:r>
      </w:hyperlink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2B04" w:rsidRDefault="00BA2B04" w:rsidP="00BA2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2492C" w:rsidRPr="00BA2B04" w:rsidRDefault="00A2492C" w:rsidP="00A2492C">
      <w:pPr>
        <w:rPr>
          <w:rFonts w:ascii="Times New Roman" w:hAnsi="Times New Roman" w:cs="Times New Roman"/>
          <w:lang w:val="en-GB"/>
        </w:rPr>
      </w:pPr>
    </w:p>
    <w:p w:rsidR="00D47408" w:rsidRDefault="00D47408"/>
    <w:sectPr w:rsidR="00D47408" w:rsidSect="0091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2B"/>
    <w:multiLevelType w:val="hybridMultilevel"/>
    <w:tmpl w:val="A30A45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E22D2"/>
    <w:multiLevelType w:val="hybridMultilevel"/>
    <w:tmpl w:val="ECB6B57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54FF"/>
    <w:multiLevelType w:val="hybridMultilevel"/>
    <w:tmpl w:val="F89287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C284A"/>
    <w:multiLevelType w:val="hybridMultilevel"/>
    <w:tmpl w:val="6E5C26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22975"/>
    <w:multiLevelType w:val="hybridMultilevel"/>
    <w:tmpl w:val="845C40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7ED2"/>
    <w:rsid w:val="00192FE2"/>
    <w:rsid w:val="003B4770"/>
    <w:rsid w:val="00405D7B"/>
    <w:rsid w:val="008E62E4"/>
    <w:rsid w:val="00A2492C"/>
    <w:rsid w:val="00A468E4"/>
    <w:rsid w:val="00B87ED2"/>
    <w:rsid w:val="00BA2B04"/>
    <w:rsid w:val="00D47408"/>
    <w:rsid w:val="00DF0531"/>
    <w:rsid w:val="00E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E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7ED2"/>
    <w:rPr>
      <w:color w:val="0000FF" w:themeColor="hyperlink"/>
      <w:u w:val="single"/>
    </w:rPr>
  </w:style>
  <w:style w:type="table" w:customStyle="1" w:styleId="Svijetlipopis-Isticanje11">
    <w:name w:val="Svijetli popis - Isticanje 11"/>
    <w:basedOn w:val="Obinatablica"/>
    <w:uiPriority w:val="61"/>
    <w:rsid w:val="00A249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etkatablice">
    <w:name w:val="Table Grid"/>
    <w:basedOn w:val="Obinatablica"/>
    <w:uiPriority w:val="59"/>
    <w:rsid w:val="0040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-Isticanje1">
    <w:name w:val="Light Grid Accent 1"/>
    <w:basedOn w:val="Obinatablica"/>
    <w:uiPriority w:val="62"/>
    <w:rsid w:val="00EC57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3B47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/Ugovor%20o%20%20dodjeli%20financijske%20potpore%20za%20Erasmus+%20mobilnost%20osoblja%20u%20svrhu%20osposobljavanja.docx" TargetMode="External"/><Relationship Id="rId13" Type="http://schemas.openxmlformats.org/officeDocument/2006/relationships/hyperlink" Target="http://staffmobility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Documents/Statement%20of%20host%20institution.docx" TargetMode="External"/><Relationship Id="rId12" Type="http://schemas.openxmlformats.org/officeDocument/2006/relationships/hyperlink" Target="https://ec.europa.eu/programmes/erasmus-plus/opportunities/individuals/staff-training/higher-education_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rasmus@unist.hr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Documents/Application%20form_Teaching%20&amp;%20Training%20staff%20mobility.doc" TargetMode="External"/><Relationship Id="rId11" Type="http://schemas.openxmlformats.org/officeDocument/2006/relationships/hyperlink" Target="https://ec.europa.eu/programmes/erasmus-plus/resources/distance-calculator_en" TargetMode="External"/><Relationship Id="rId5" Type="http://schemas.openxmlformats.org/officeDocument/2006/relationships/hyperlink" Target="file:///I:\U%20radu\International%20office-official%20page%20KIFST\International\International%20partners\Programme%20countries_Agreements.docx" TargetMode="External"/><Relationship Id="rId15" Type="http://schemas.openxmlformats.org/officeDocument/2006/relationships/hyperlink" Target="mailto:erasmus@kifst.hr" TargetMode="External"/><Relationship Id="rId10" Type="http://schemas.openxmlformats.org/officeDocument/2006/relationships/hyperlink" Target="http://www.unist.hr/Portals/0/adam/Content/RyWMlWbHXkKqbB8yBqEd9Q/Text/iznosi%20financijske%20potpore%20staff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Documents/Izjava%20o%20odustanku%20mobilnosti.docx" TargetMode="External"/><Relationship Id="rId14" Type="http://schemas.openxmlformats.org/officeDocument/2006/relationships/hyperlink" Target="file:///I:\U%20radu\International%20office-official%20page%20KIFST\International\Documents\Erasmus%20Data%20Sheet%202019_2020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Ana Penjak</cp:lastModifiedBy>
  <cp:revision>6</cp:revision>
  <cp:lastPrinted>2021-02-11T12:47:00Z</cp:lastPrinted>
  <dcterms:created xsi:type="dcterms:W3CDTF">2021-02-11T11:26:00Z</dcterms:created>
  <dcterms:modified xsi:type="dcterms:W3CDTF">2021-02-11T12:56:00Z</dcterms:modified>
</cp:coreProperties>
</file>